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8B" w:rsidRDefault="003E318B" w:rsidP="008A658A">
      <w:pPr>
        <w:pStyle w:val="a4"/>
        <w:spacing w:line="24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</w:t>
      </w:r>
      <w:r w:rsidRPr="003E318B">
        <w:rPr>
          <w:bCs/>
        </w:rPr>
        <w:t>Приложение</w:t>
      </w:r>
    </w:p>
    <w:p w:rsidR="003E318B" w:rsidRPr="003E318B" w:rsidRDefault="003E318B" w:rsidP="008A658A">
      <w:pPr>
        <w:pStyle w:val="a4"/>
        <w:spacing w:line="240" w:lineRule="auto"/>
        <w:jc w:val="center"/>
        <w:rPr>
          <w:bCs/>
        </w:rPr>
      </w:pPr>
    </w:p>
    <w:p w:rsidR="008A658A" w:rsidRDefault="005B7F69" w:rsidP="008A658A">
      <w:pPr>
        <w:pStyle w:val="a4"/>
        <w:spacing w:line="240" w:lineRule="auto"/>
        <w:jc w:val="center"/>
        <w:rPr>
          <w:b/>
          <w:bCs/>
        </w:rPr>
      </w:pPr>
      <w:r>
        <w:rPr>
          <w:b/>
          <w:bCs/>
        </w:rPr>
        <w:t>Удовлетворенность застрахованных</w:t>
      </w:r>
      <w:r w:rsidR="00BD32B5">
        <w:rPr>
          <w:b/>
          <w:bCs/>
        </w:rPr>
        <w:t xml:space="preserve"> лиц</w:t>
      </w:r>
      <w:r>
        <w:rPr>
          <w:b/>
          <w:bCs/>
        </w:rPr>
        <w:t xml:space="preserve"> </w:t>
      </w:r>
      <w:r w:rsidR="00BD32B5" w:rsidRPr="00BD32B5">
        <w:rPr>
          <w:b/>
          <w:bCs/>
        </w:rPr>
        <w:t>в сфере обязательного медицинского страхования</w:t>
      </w:r>
      <w:r>
        <w:rPr>
          <w:b/>
          <w:bCs/>
        </w:rPr>
        <w:t xml:space="preserve"> деятель</w:t>
      </w:r>
      <w:r w:rsidR="008A658A">
        <w:rPr>
          <w:b/>
          <w:bCs/>
        </w:rPr>
        <w:t xml:space="preserve">ностью </w:t>
      </w:r>
      <w:r>
        <w:rPr>
          <w:b/>
          <w:bCs/>
        </w:rPr>
        <w:t>медицинских организаций по данным выборочного</w:t>
      </w:r>
      <w:r w:rsidR="008A658A">
        <w:rPr>
          <w:b/>
          <w:bCs/>
        </w:rPr>
        <w:t xml:space="preserve"> опроса</w:t>
      </w:r>
      <w:r>
        <w:rPr>
          <w:b/>
          <w:bCs/>
        </w:rPr>
        <w:t xml:space="preserve"> (анкетирования) СМО</w:t>
      </w:r>
    </w:p>
    <w:p w:rsidR="008A658A" w:rsidRDefault="00F50AFF" w:rsidP="008A658A">
      <w:pPr>
        <w:pStyle w:val="a4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за </w:t>
      </w:r>
      <w:r w:rsidR="004603C1">
        <w:rPr>
          <w:b/>
          <w:bCs/>
        </w:rPr>
        <w:t>январь -декабрь</w:t>
      </w:r>
      <w:r w:rsidR="002A65F6">
        <w:rPr>
          <w:b/>
          <w:bCs/>
        </w:rPr>
        <w:t xml:space="preserve"> </w:t>
      </w:r>
      <w:r>
        <w:rPr>
          <w:b/>
          <w:bCs/>
        </w:rPr>
        <w:t>202</w:t>
      </w:r>
      <w:r w:rsidR="00167E65">
        <w:rPr>
          <w:b/>
          <w:bCs/>
        </w:rPr>
        <w:t>5</w:t>
      </w:r>
      <w:r w:rsidR="008A658A">
        <w:rPr>
          <w:b/>
          <w:bCs/>
        </w:rPr>
        <w:t xml:space="preserve"> года.</w:t>
      </w:r>
    </w:p>
    <w:p w:rsidR="008A658A" w:rsidRDefault="008A658A" w:rsidP="008A658A">
      <w:pPr>
        <w:pStyle w:val="a4"/>
        <w:spacing w:line="240" w:lineRule="auto"/>
        <w:jc w:val="center"/>
        <w:rPr>
          <w:b/>
          <w:bCs/>
        </w:rPr>
      </w:pPr>
    </w:p>
    <w:p w:rsidR="008A658A" w:rsidRDefault="008A658A" w:rsidP="008A65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ab/>
      </w:r>
      <w:r w:rsidR="005B7F69">
        <w:rPr>
          <w:rFonts w:ascii="Times New Roman" w:hAnsi="Times New Roman" w:cs="Times New Roman"/>
          <w:bCs/>
          <w:sz w:val="28"/>
          <w:szCs w:val="28"/>
        </w:rPr>
        <w:t>Выборочный опрос (анкетирование)</w:t>
      </w:r>
      <w:r w:rsidR="00BD32B5">
        <w:rPr>
          <w:rFonts w:ascii="Times New Roman" w:hAnsi="Times New Roman" w:cs="Times New Roman"/>
          <w:bCs/>
          <w:sz w:val="28"/>
          <w:szCs w:val="28"/>
        </w:rPr>
        <w:t xml:space="preserve"> застрахованных лиц</w:t>
      </w:r>
      <w:r w:rsidR="005B7F69">
        <w:rPr>
          <w:rFonts w:ascii="Times New Roman" w:hAnsi="Times New Roman" w:cs="Times New Roman"/>
          <w:bCs/>
          <w:sz w:val="28"/>
          <w:szCs w:val="28"/>
        </w:rPr>
        <w:t xml:space="preserve"> проводился</w:t>
      </w:r>
      <w:r w:rsidR="00936176">
        <w:rPr>
          <w:rFonts w:ascii="Times New Roman" w:hAnsi="Times New Roman" w:cs="Times New Roman"/>
          <w:bCs/>
          <w:sz w:val="28"/>
          <w:szCs w:val="28"/>
        </w:rPr>
        <w:t xml:space="preserve"> страховой медицинской организацией АО «МАКС-М» в г. Белгороде</w:t>
      </w:r>
      <w:r w:rsidRPr="008A658A">
        <w:rPr>
          <w:rFonts w:ascii="Times New Roman" w:hAnsi="Times New Roman" w:cs="Times New Roman"/>
          <w:bCs/>
          <w:sz w:val="28"/>
          <w:szCs w:val="28"/>
        </w:rPr>
        <w:t xml:space="preserve"> в соо</w:t>
      </w:r>
      <w:r w:rsidR="005B7F69">
        <w:rPr>
          <w:rFonts w:ascii="Times New Roman" w:hAnsi="Times New Roman" w:cs="Times New Roman"/>
          <w:bCs/>
          <w:sz w:val="28"/>
          <w:szCs w:val="28"/>
        </w:rPr>
        <w:t>тветствии с приказом ФФОМС от 28.04.2023 г. № 76</w:t>
      </w:r>
      <w:r w:rsidRPr="008A658A">
        <w:rPr>
          <w:rFonts w:ascii="Times New Roman" w:hAnsi="Times New Roman" w:cs="Times New Roman"/>
          <w:bCs/>
          <w:sz w:val="28"/>
          <w:szCs w:val="28"/>
        </w:rPr>
        <w:t xml:space="preserve"> «Об утвер</w:t>
      </w:r>
      <w:r w:rsidR="005B7F69">
        <w:rPr>
          <w:rFonts w:ascii="Times New Roman" w:hAnsi="Times New Roman" w:cs="Times New Roman"/>
          <w:bCs/>
          <w:sz w:val="28"/>
          <w:szCs w:val="28"/>
        </w:rPr>
        <w:t>ждении Методики</w:t>
      </w:r>
      <w:r w:rsidR="00BD32B5">
        <w:rPr>
          <w:rFonts w:ascii="Times New Roman" w:hAnsi="Times New Roman" w:cs="Times New Roman"/>
          <w:bCs/>
          <w:sz w:val="28"/>
          <w:szCs w:val="28"/>
        </w:rPr>
        <w:t xml:space="preserve"> организации и проведения страховыми медицинскими организациями</w:t>
      </w:r>
      <w:r w:rsidRPr="008A6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32B5" w:rsidRPr="00BD32B5">
        <w:rPr>
          <w:rFonts w:ascii="Times New Roman" w:hAnsi="Times New Roman" w:cs="Times New Roman"/>
          <w:bCs/>
          <w:sz w:val="28"/>
          <w:szCs w:val="28"/>
        </w:rPr>
        <w:t xml:space="preserve">выборочного опроса (анкетирования) </w:t>
      </w:r>
      <w:r w:rsidRPr="008A658A">
        <w:rPr>
          <w:rFonts w:ascii="Times New Roman" w:hAnsi="Times New Roman" w:cs="Times New Roman"/>
          <w:bCs/>
          <w:sz w:val="28"/>
          <w:szCs w:val="28"/>
        </w:rPr>
        <w:t xml:space="preserve"> застрахованных </w:t>
      </w:r>
      <w:r w:rsidR="00BD32B5">
        <w:rPr>
          <w:rFonts w:ascii="Times New Roman" w:hAnsi="Times New Roman" w:cs="Times New Roman"/>
          <w:bCs/>
          <w:sz w:val="28"/>
          <w:szCs w:val="28"/>
        </w:rPr>
        <w:t xml:space="preserve"> по обязательному медицинскому страхованию </w:t>
      </w:r>
      <w:r w:rsidRPr="008A658A">
        <w:rPr>
          <w:rFonts w:ascii="Times New Roman" w:hAnsi="Times New Roman" w:cs="Times New Roman"/>
          <w:bCs/>
          <w:sz w:val="28"/>
          <w:szCs w:val="28"/>
        </w:rPr>
        <w:t>лиц</w:t>
      </w:r>
      <w:r w:rsidR="00BD32B5">
        <w:rPr>
          <w:rFonts w:ascii="Times New Roman" w:hAnsi="Times New Roman" w:cs="Times New Roman"/>
          <w:bCs/>
          <w:sz w:val="28"/>
          <w:szCs w:val="28"/>
        </w:rPr>
        <w:t xml:space="preserve"> для оценки их </w:t>
      </w:r>
      <w:r w:rsidR="00BD32B5" w:rsidRPr="00BD32B5">
        <w:rPr>
          <w:rFonts w:ascii="Times New Roman" w:hAnsi="Times New Roman" w:cs="Times New Roman"/>
          <w:bCs/>
          <w:sz w:val="28"/>
          <w:szCs w:val="28"/>
        </w:rPr>
        <w:t>удовлетворенности</w:t>
      </w:r>
      <w:r w:rsidR="00BD3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32B5" w:rsidRPr="00BD32B5">
        <w:rPr>
          <w:rFonts w:ascii="Times New Roman" w:hAnsi="Times New Roman" w:cs="Times New Roman"/>
          <w:bCs/>
          <w:sz w:val="28"/>
          <w:szCs w:val="28"/>
        </w:rPr>
        <w:t>деятельностью медицинских организаций</w:t>
      </w:r>
      <w:r w:rsidRPr="008A658A">
        <w:rPr>
          <w:rFonts w:ascii="Times New Roman" w:hAnsi="Times New Roman" w:cs="Times New Roman"/>
          <w:bCs/>
          <w:sz w:val="28"/>
          <w:szCs w:val="28"/>
        </w:rPr>
        <w:t>», в котором</w:t>
      </w:r>
      <w:r w:rsidR="00936176">
        <w:rPr>
          <w:rFonts w:ascii="Times New Roman" w:hAnsi="Times New Roman" w:cs="Times New Roman"/>
          <w:bCs/>
          <w:sz w:val="28"/>
          <w:szCs w:val="28"/>
        </w:rPr>
        <w:t xml:space="preserve"> определен порядок проведения</w:t>
      </w:r>
      <w:r w:rsidRPr="008A6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6176">
        <w:rPr>
          <w:rFonts w:ascii="Times New Roman" w:hAnsi="Times New Roman" w:cs="Times New Roman"/>
          <w:bCs/>
          <w:sz w:val="28"/>
          <w:szCs w:val="28"/>
        </w:rPr>
        <w:t xml:space="preserve">опросов СМО </w:t>
      </w:r>
      <w:r w:rsidRPr="008A658A">
        <w:rPr>
          <w:rFonts w:ascii="Times New Roman" w:hAnsi="Times New Roman" w:cs="Times New Roman"/>
          <w:bCs/>
          <w:sz w:val="28"/>
          <w:szCs w:val="28"/>
        </w:rPr>
        <w:t>и методика</w:t>
      </w:r>
      <w:r w:rsidR="00936176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8A658A">
        <w:rPr>
          <w:rFonts w:ascii="Times New Roman" w:hAnsi="Times New Roman" w:cs="Times New Roman"/>
          <w:bCs/>
          <w:sz w:val="28"/>
          <w:szCs w:val="28"/>
        </w:rPr>
        <w:t xml:space="preserve"> расчета  выборки. </w:t>
      </w:r>
      <w:r w:rsidRPr="00423FC8">
        <w:rPr>
          <w:rFonts w:ascii="Times New Roman" w:hAnsi="Times New Roman" w:cs="Times New Roman"/>
          <w:bCs/>
          <w:sz w:val="28"/>
          <w:szCs w:val="28"/>
        </w:rPr>
        <w:t>В соответствии с рассчитанной</w:t>
      </w:r>
      <w:r w:rsidR="00936176">
        <w:rPr>
          <w:rFonts w:ascii="Times New Roman" w:hAnsi="Times New Roman" w:cs="Times New Roman"/>
          <w:bCs/>
          <w:sz w:val="28"/>
          <w:szCs w:val="28"/>
        </w:rPr>
        <w:t xml:space="preserve"> и утвержденной приказом ТФОМС</w:t>
      </w:r>
      <w:r w:rsidRPr="00423FC8">
        <w:rPr>
          <w:rFonts w:ascii="Times New Roman" w:hAnsi="Times New Roman" w:cs="Times New Roman"/>
          <w:bCs/>
          <w:sz w:val="28"/>
          <w:szCs w:val="28"/>
        </w:rPr>
        <w:t xml:space="preserve"> выборкой </w:t>
      </w:r>
      <w:r w:rsidR="00936176">
        <w:rPr>
          <w:rFonts w:ascii="Times New Roman" w:hAnsi="Times New Roman" w:cs="Times New Roman"/>
          <w:bCs/>
          <w:sz w:val="28"/>
          <w:szCs w:val="28"/>
        </w:rPr>
        <w:t>опрошены застрахованные лица</w:t>
      </w:r>
      <w:r w:rsidR="003F1BE1">
        <w:rPr>
          <w:rFonts w:ascii="Times New Roman" w:hAnsi="Times New Roman" w:cs="Times New Roman"/>
          <w:bCs/>
          <w:sz w:val="28"/>
          <w:szCs w:val="28"/>
        </w:rPr>
        <w:t xml:space="preserve"> после завершения процесса лечения</w:t>
      </w:r>
      <w:r w:rsidR="00936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FC8" w:rsidRPr="00423FC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9312D" w:rsidRPr="00A9312D">
        <w:rPr>
          <w:rFonts w:ascii="Times New Roman" w:hAnsi="Times New Roman" w:cs="Times New Roman"/>
          <w:bCs/>
          <w:sz w:val="28"/>
          <w:szCs w:val="28"/>
        </w:rPr>
        <w:t>3</w:t>
      </w:r>
      <w:r w:rsidR="00D850ED">
        <w:rPr>
          <w:rFonts w:ascii="Times New Roman" w:hAnsi="Times New Roman" w:cs="Times New Roman"/>
          <w:bCs/>
          <w:sz w:val="28"/>
          <w:szCs w:val="28"/>
        </w:rPr>
        <w:t>3</w:t>
      </w:r>
      <w:r w:rsidRPr="00423FC8">
        <w:rPr>
          <w:rFonts w:ascii="Times New Roman" w:hAnsi="Times New Roman" w:cs="Times New Roman"/>
          <w:bCs/>
          <w:sz w:val="28"/>
          <w:szCs w:val="28"/>
        </w:rPr>
        <w:t xml:space="preserve"> медицинских организациях, осуществляющих деятельность в сфере ОМС.</w:t>
      </w:r>
      <w:r w:rsidRPr="008A6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93F">
        <w:rPr>
          <w:rFonts w:ascii="Times New Roman" w:hAnsi="Times New Roman" w:cs="Times New Roman"/>
          <w:bCs/>
          <w:sz w:val="28"/>
          <w:szCs w:val="28"/>
        </w:rPr>
        <w:t xml:space="preserve">Анкетированием было охвачено </w:t>
      </w:r>
      <w:r w:rsidR="007F2967">
        <w:rPr>
          <w:rFonts w:ascii="Times New Roman" w:hAnsi="Times New Roman" w:cs="Times New Roman"/>
          <w:bCs/>
          <w:sz w:val="28"/>
          <w:szCs w:val="28"/>
        </w:rPr>
        <w:t>1 764</w:t>
      </w:r>
      <w:r w:rsidRPr="008A658A">
        <w:rPr>
          <w:rFonts w:ascii="Times New Roman" w:hAnsi="Times New Roman" w:cs="Times New Roman"/>
          <w:bCs/>
          <w:sz w:val="28"/>
          <w:szCs w:val="28"/>
        </w:rPr>
        <w:t xml:space="preserve"> застрахованных лиц</w:t>
      </w:r>
      <w:r w:rsidR="00B5093F">
        <w:rPr>
          <w:rFonts w:ascii="Times New Roman" w:hAnsi="Times New Roman" w:cs="Times New Roman"/>
          <w:bCs/>
          <w:sz w:val="28"/>
          <w:szCs w:val="28"/>
        </w:rPr>
        <w:t>а</w:t>
      </w:r>
      <w:r w:rsidRPr="008A658A">
        <w:rPr>
          <w:rFonts w:ascii="Times New Roman" w:hAnsi="Times New Roman" w:cs="Times New Roman"/>
          <w:bCs/>
          <w:sz w:val="28"/>
          <w:szCs w:val="28"/>
        </w:rPr>
        <w:t>:</w:t>
      </w:r>
      <w:r w:rsidR="003F1BE1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DA7E15">
        <w:rPr>
          <w:rFonts w:ascii="Times New Roman" w:hAnsi="Times New Roman" w:cs="Times New Roman"/>
          <w:sz w:val="28"/>
          <w:szCs w:val="28"/>
        </w:rPr>
        <w:t xml:space="preserve"> стационарного лечения</w:t>
      </w:r>
      <w:r w:rsidRPr="008A658A">
        <w:rPr>
          <w:rFonts w:ascii="Times New Roman" w:hAnsi="Times New Roman" w:cs="Times New Roman"/>
          <w:sz w:val="28"/>
          <w:szCs w:val="28"/>
        </w:rPr>
        <w:t xml:space="preserve"> – </w:t>
      </w:r>
      <w:r w:rsidR="00E108C0">
        <w:rPr>
          <w:rFonts w:ascii="Times New Roman" w:hAnsi="Times New Roman" w:cs="Times New Roman"/>
          <w:sz w:val="28"/>
          <w:szCs w:val="28"/>
        </w:rPr>
        <w:t>216</w:t>
      </w:r>
      <w:r w:rsidRPr="008A658A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EE4B9E">
        <w:rPr>
          <w:rFonts w:ascii="Times New Roman" w:hAnsi="Times New Roman" w:cs="Times New Roman"/>
          <w:sz w:val="28"/>
          <w:szCs w:val="28"/>
        </w:rPr>
        <w:t xml:space="preserve"> после завершения процесса лечения</w:t>
      </w:r>
      <w:r w:rsidRPr="008A658A">
        <w:rPr>
          <w:rFonts w:ascii="Times New Roman" w:hAnsi="Times New Roman" w:cs="Times New Roman"/>
          <w:sz w:val="28"/>
          <w:szCs w:val="28"/>
        </w:rPr>
        <w:t xml:space="preserve"> в амбулатор</w:t>
      </w:r>
      <w:r w:rsidR="00325043">
        <w:rPr>
          <w:rFonts w:ascii="Times New Roman" w:hAnsi="Times New Roman" w:cs="Times New Roman"/>
          <w:sz w:val="28"/>
          <w:szCs w:val="28"/>
        </w:rPr>
        <w:t xml:space="preserve">но-поликлинических условиях – </w:t>
      </w:r>
      <w:r w:rsidR="00E108C0">
        <w:rPr>
          <w:rFonts w:ascii="Times New Roman" w:hAnsi="Times New Roman" w:cs="Times New Roman"/>
          <w:sz w:val="28"/>
          <w:szCs w:val="28"/>
        </w:rPr>
        <w:t>1 548</w:t>
      </w:r>
      <w:r w:rsidRPr="008A658A">
        <w:rPr>
          <w:rFonts w:ascii="Times New Roman" w:hAnsi="Times New Roman" w:cs="Times New Roman"/>
          <w:sz w:val="28"/>
          <w:szCs w:val="28"/>
        </w:rPr>
        <w:t xml:space="preserve"> человек. (Таблица 1). </w:t>
      </w:r>
    </w:p>
    <w:p w:rsidR="00E57A1A" w:rsidRPr="008A658A" w:rsidRDefault="00E57A1A" w:rsidP="008A65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658A" w:rsidRPr="008A658A" w:rsidRDefault="008A658A" w:rsidP="008A658A">
      <w:pPr>
        <w:pStyle w:val="a4"/>
        <w:spacing w:line="240" w:lineRule="auto"/>
        <w:jc w:val="right"/>
        <w:rPr>
          <w:bCs/>
        </w:rPr>
      </w:pPr>
      <w:r w:rsidRPr="008A658A">
        <w:rPr>
          <w:bCs/>
        </w:rPr>
        <w:t xml:space="preserve">Таблица 1 </w:t>
      </w:r>
    </w:p>
    <w:p w:rsidR="008A658A" w:rsidRPr="008A658A" w:rsidRDefault="00EE4B9E" w:rsidP="008A658A">
      <w:pPr>
        <w:pStyle w:val="a4"/>
        <w:spacing w:line="240" w:lineRule="auto"/>
        <w:jc w:val="center"/>
        <w:rPr>
          <w:b/>
          <w:bCs/>
        </w:rPr>
      </w:pPr>
      <w:r>
        <w:rPr>
          <w:b/>
          <w:bCs/>
        </w:rPr>
        <w:t>Распределение опроше</w:t>
      </w:r>
      <w:r w:rsidR="008A658A" w:rsidRPr="008A658A">
        <w:rPr>
          <w:b/>
          <w:bCs/>
        </w:rPr>
        <w:t>нных застрахованных лиц по полу и возрасту</w:t>
      </w:r>
    </w:p>
    <w:p w:rsidR="0042672E" w:rsidRDefault="0042672E" w:rsidP="0042672E">
      <w:pPr>
        <w:pStyle w:val="a4"/>
        <w:spacing w:line="240" w:lineRule="auto"/>
        <w:jc w:val="center"/>
        <w:rPr>
          <w:bCs/>
          <w:highlight w:val="yellow"/>
        </w:rPr>
      </w:pPr>
    </w:p>
    <w:p w:rsidR="008A658A" w:rsidRPr="00E232B8" w:rsidRDefault="0042672E" w:rsidP="0042672E">
      <w:pPr>
        <w:pStyle w:val="a4"/>
        <w:spacing w:line="240" w:lineRule="auto"/>
        <w:jc w:val="center"/>
        <w:rPr>
          <w:b/>
          <w:bCs/>
        </w:rPr>
      </w:pPr>
      <w:r w:rsidRPr="00E232B8">
        <w:rPr>
          <w:b/>
          <w:bCs/>
        </w:rPr>
        <w:t>Стационар</w:t>
      </w:r>
    </w:p>
    <w:tbl>
      <w:tblPr>
        <w:tblStyle w:val="a6"/>
        <w:tblW w:w="9468" w:type="dxa"/>
        <w:tblLook w:val="01E0"/>
      </w:tblPr>
      <w:tblGrid>
        <w:gridCol w:w="1257"/>
        <w:gridCol w:w="2631"/>
        <w:gridCol w:w="2880"/>
        <w:gridCol w:w="2700"/>
      </w:tblGrid>
      <w:tr w:rsidR="00E57A1A" w:rsidRPr="008A658A" w:rsidTr="00C432BA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E57A1A">
            <w:pPr>
              <w:pStyle w:val="a4"/>
              <w:spacing w:line="240" w:lineRule="auto"/>
              <w:rPr>
                <w:bCs/>
              </w:rPr>
            </w:pPr>
            <w:r w:rsidRPr="008B5F72">
              <w:rPr>
                <w:bCs/>
              </w:rPr>
              <w:t>Женщин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4226CB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18 - 4</w:t>
            </w:r>
            <w:r w:rsidR="00E57A1A" w:rsidRPr="008B5F72">
              <w:rPr>
                <w:bCs/>
              </w:rPr>
              <w:t>4 лет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B355BF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45 - 5</w:t>
            </w:r>
            <w:r w:rsidR="004226CB">
              <w:rPr>
                <w:bCs/>
              </w:rPr>
              <w:t>9</w:t>
            </w:r>
            <w:r w:rsidR="004226CB" w:rsidRPr="008B5F72">
              <w:rPr>
                <w:bCs/>
              </w:rPr>
              <w:t xml:space="preserve"> лет</w:t>
            </w:r>
          </w:p>
        </w:tc>
        <w:tc>
          <w:tcPr>
            <w:tcW w:w="2700" w:type="dxa"/>
            <w:shd w:val="clear" w:color="auto" w:fill="auto"/>
          </w:tcPr>
          <w:p w:rsidR="00E57A1A" w:rsidRPr="008A658A" w:rsidRDefault="00C432BA" w:rsidP="00C432BA">
            <w:pPr>
              <w:pStyle w:val="a4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</w:rPr>
              <w:t>60</w:t>
            </w:r>
            <w:r w:rsidRPr="008B5F72">
              <w:rPr>
                <w:bCs/>
              </w:rPr>
              <w:t xml:space="preserve"> лет и старше</w:t>
            </w:r>
          </w:p>
        </w:tc>
      </w:tr>
      <w:tr w:rsidR="00E57A1A" w:rsidRPr="008A658A" w:rsidTr="00C432BA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A658A" w:rsidRDefault="002A65F6" w:rsidP="00461BFD">
            <w:pPr>
              <w:pStyle w:val="a4"/>
              <w:spacing w:line="240" w:lineRule="auto"/>
              <w:rPr>
                <w:bCs/>
                <w:highlight w:val="yellow"/>
              </w:rPr>
            </w:pPr>
            <w:r>
              <w:rPr>
                <w:bCs/>
              </w:rPr>
              <w:t>1</w:t>
            </w:r>
            <w:r w:rsidR="00461BFD">
              <w:rPr>
                <w:bCs/>
              </w:rPr>
              <w:t>36</w:t>
            </w:r>
            <w:r w:rsidR="00E57A1A" w:rsidRPr="008B5F72">
              <w:rPr>
                <w:bCs/>
              </w:rPr>
              <w:t xml:space="preserve"> чел. </w:t>
            </w:r>
            <w:r w:rsidR="004D405D">
              <w:rPr>
                <w:bCs/>
              </w:rPr>
              <w:t xml:space="preserve">  </w:t>
            </w:r>
            <w:r w:rsidR="00E57A1A" w:rsidRPr="008B5F72">
              <w:rPr>
                <w:bCs/>
              </w:rPr>
              <w:t>(</w:t>
            </w:r>
            <w:r w:rsidR="00A9312D">
              <w:rPr>
                <w:bCs/>
                <w:lang w:val="en-US"/>
              </w:rPr>
              <w:t>8</w:t>
            </w:r>
            <w:r w:rsidR="00E57A1A" w:rsidRPr="008B5F72">
              <w:rPr>
                <w:bCs/>
              </w:rPr>
              <w:t>%)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461BFD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48</w:t>
            </w:r>
            <w:r w:rsidR="00A52800">
              <w:rPr>
                <w:bCs/>
              </w:rPr>
              <w:t xml:space="preserve"> </w:t>
            </w:r>
            <w:r w:rsidR="00E57A1A" w:rsidRPr="008B5F72">
              <w:rPr>
                <w:bCs/>
              </w:rPr>
              <w:t>человек</w:t>
            </w:r>
          </w:p>
          <w:p w:rsidR="00E57A1A" w:rsidRPr="008B5F72" w:rsidRDefault="00E57A1A" w:rsidP="001D1073">
            <w:pPr>
              <w:pStyle w:val="a4"/>
              <w:spacing w:line="240" w:lineRule="auto"/>
              <w:jc w:val="center"/>
              <w:rPr>
                <w:bCs/>
              </w:rPr>
            </w:pPr>
            <w:r w:rsidRPr="008B5F72">
              <w:rPr>
                <w:bCs/>
              </w:rPr>
              <w:t>(</w:t>
            </w:r>
            <w:r w:rsidR="001D1073">
              <w:rPr>
                <w:bCs/>
              </w:rPr>
              <w:t>3</w:t>
            </w:r>
            <w:r w:rsidRPr="008B5F72">
              <w:rPr>
                <w:bCs/>
              </w:rPr>
              <w:t>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755C75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7769AE">
              <w:rPr>
                <w:bCs/>
              </w:rPr>
              <w:t xml:space="preserve"> человек</w:t>
            </w:r>
          </w:p>
          <w:p w:rsidR="00E57A1A" w:rsidRPr="008B5F72" w:rsidRDefault="00E57A1A" w:rsidP="00671867">
            <w:pPr>
              <w:pStyle w:val="a4"/>
              <w:spacing w:line="240" w:lineRule="auto"/>
              <w:jc w:val="center"/>
              <w:rPr>
                <w:bCs/>
              </w:rPr>
            </w:pPr>
            <w:r w:rsidRPr="008B5F72">
              <w:rPr>
                <w:bCs/>
              </w:rPr>
              <w:t>(</w:t>
            </w:r>
            <w:r w:rsidR="00671867">
              <w:rPr>
                <w:bCs/>
                <w:lang w:val="en-US"/>
              </w:rPr>
              <w:t>1</w:t>
            </w:r>
            <w:r w:rsidRPr="008B5F72">
              <w:rPr>
                <w:bCs/>
              </w:rPr>
              <w:t>%)</w:t>
            </w:r>
          </w:p>
        </w:tc>
        <w:tc>
          <w:tcPr>
            <w:tcW w:w="2700" w:type="dxa"/>
            <w:shd w:val="clear" w:color="auto" w:fill="auto"/>
          </w:tcPr>
          <w:p w:rsidR="00B355BF" w:rsidRPr="008B5F72" w:rsidRDefault="00755C75" w:rsidP="00B355BF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64</w:t>
            </w:r>
            <w:r w:rsidR="00B355BF" w:rsidRPr="008B5F72">
              <w:rPr>
                <w:bCs/>
              </w:rPr>
              <w:t xml:space="preserve"> человек</w:t>
            </w:r>
          </w:p>
          <w:p w:rsidR="00E57A1A" w:rsidRPr="008A658A" w:rsidRDefault="00B355BF" w:rsidP="00B355BF">
            <w:pPr>
              <w:pStyle w:val="a4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B5F72">
              <w:rPr>
                <w:bCs/>
              </w:rPr>
              <w:t>(</w:t>
            </w:r>
            <w:r w:rsidR="005D23B9">
              <w:rPr>
                <w:bCs/>
              </w:rPr>
              <w:t>4</w:t>
            </w:r>
            <w:r w:rsidRPr="008B5F72">
              <w:rPr>
                <w:bCs/>
              </w:rPr>
              <w:t>%)</w:t>
            </w:r>
          </w:p>
        </w:tc>
      </w:tr>
      <w:tr w:rsidR="008A658A" w:rsidRPr="008A658A" w:rsidTr="00C432BA">
        <w:trPr>
          <w:gridAfter w:val="1"/>
          <w:wAfter w:w="2700" w:type="dxa"/>
        </w:trPr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58A" w:rsidRPr="008A658A" w:rsidRDefault="008A658A">
            <w:pPr>
              <w:pStyle w:val="a4"/>
              <w:spacing w:line="240" w:lineRule="auto"/>
              <w:rPr>
                <w:bCs/>
                <w:highlight w:val="yellow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58A" w:rsidRPr="008B5F72" w:rsidRDefault="008A658A">
            <w:pPr>
              <w:pStyle w:val="a4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58A" w:rsidRPr="008B5F72" w:rsidRDefault="008A658A">
            <w:pPr>
              <w:pStyle w:val="a4"/>
              <w:spacing w:line="240" w:lineRule="auto"/>
              <w:jc w:val="center"/>
              <w:rPr>
                <w:bCs/>
              </w:rPr>
            </w:pPr>
          </w:p>
        </w:tc>
      </w:tr>
      <w:tr w:rsidR="00E57A1A" w:rsidRPr="008A658A" w:rsidTr="00C432BA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A658A" w:rsidRDefault="00E57A1A">
            <w:pPr>
              <w:pStyle w:val="a4"/>
              <w:spacing w:line="240" w:lineRule="auto"/>
              <w:rPr>
                <w:bCs/>
                <w:highlight w:val="yellow"/>
              </w:rPr>
            </w:pPr>
            <w:r w:rsidRPr="008B5F72">
              <w:rPr>
                <w:bCs/>
              </w:rPr>
              <w:t>Мужчин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4226CB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18 - 44</w:t>
            </w:r>
            <w:r w:rsidR="00E57A1A" w:rsidRPr="008B5F72">
              <w:rPr>
                <w:bCs/>
              </w:rPr>
              <w:t xml:space="preserve"> лет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B355BF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45 - 5</w:t>
            </w:r>
            <w:r w:rsidR="004226CB">
              <w:rPr>
                <w:bCs/>
              </w:rPr>
              <w:t>9</w:t>
            </w:r>
            <w:r w:rsidR="004226CB" w:rsidRPr="008B5F72">
              <w:rPr>
                <w:bCs/>
              </w:rPr>
              <w:t xml:space="preserve"> лет</w:t>
            </w:r>
          </w:p>
        </w:tc>
        <w:tc>
          <w:tcPr>
            <w:tcW w:w="2700" w:type="dxa"/>
            <w:shd w:val="clear" w:color="auto" w:fill="auto"/>
          </w:tcPr>
          <w:p w:rsidR="00E57A1A" w:rsidRPr="008A658A" w:rsidRDefault="004226CB" w:rsidP="004226CB">
            <w:pPr>
              <w:pStyle w:val="a4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B5F72">
              <w:rPr>
                <w:bCs/>
              </w:rPr>
              <w:t>60 лет и старше</w:t>
            </w:r>
          </w:p>
        </w:tc>
      </w:tr>
      <w:tr w:rsidR="00E57A1A" w:rsidRPr="008A658A" w:rsidTr="00C432BA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A658A" w:rsidRDefault="00461BFD" w:rsidP="00A9312D">
            <w:pPr>
              <w:pStyle w:val="a4"/>
              <w:spacing w:line="240" w:lineRule="auto"/>
              <w:rPr>
                <w:bCs/>
                <w:highlight w:val="yellow"/>
              </w:rPr>
            </w:pPr>
            <w:r>
              <w:rPr>
                <w:bCs/>
              </w:rPr>
              <w:t>80</w:t>
            </w:r>
            <w:r w:rsidR="00E57A1A" w:rsidRPr="008B5F72">
              <w:rPr>
                <w:bCs/>
              </w:rPr>
              <w:t xml:space="preserve"> чел. (</w:t>
            </w:r>
            <w:r w:rsidR="00A9312D">
              <w:rPr>
                <w:bCs/>
                <w:lang w:val="en-US"/>
              </w:rPr>
              <w:t>4</w:t>
            </w:r>
            <w:r w:rsidR="00E57A1A" w:rsidRPr="008B5F72">
              <w:rPr>
                <w:bCs/>
              </w:rPr>
              <w:t>%)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2A65F6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108C0">
              <w:rPr>
                <w:bCs/>
              </w:rPr>
              <w:t>6</w:t>
            </w:r>
            <w:r w:rsidR="007E151D">
              <w:rPr>
                <w:bCs/>
              </w:rPr>
              <w:t xml:space="preserve"> человек</w:t>
            </w:r>
          </w:p>
          <w:p w:rsidR="00E57A1A" w:rsidRPr="008B5F72" w:rsidRDefault="00E57A1A">
            <w:pPr>
              <w:pStyle w:val="a4"/>
              <w:spacing w:line="240" w:lineRule="auto"/>
              <w:jc w:val="center"/>
              <w:rPr>
                <w:bCs/>
              </w:rPr>
            </w:pPr>
            <w:r w:rsidRPr="008B5F72">
              <w:rPr>
                <w:bCs/>
              </w:rPr>
              <w:t>(</w:t>
            </w:r>
            <w:r w:rsidR="005D23B9">
              <w:rPr>
                <w:bCs/>
              </w:rPr>
              <w:t>1</w:t>
            </w:r>
            <w:r w:rsidRPr="008B5F72">
              <w:rPr>
                <w:bCs/>
              </w:rPr>
              <w:t>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1A" w:rsidRPr="008B5F72" w:rsidRDefault="00755C75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E151D">
              <w:rPr>
                <w:bCs/>
              </w:rPr>
              <w:t xml:space="preserve"> </w:t>
            </w:r>
            <w:r w:rsidR="00E57A1A" w:rsidRPr="008B5F72">
              <w:rPr>
                <w:bCs/>
              </w:rPr>
              <w:t>человек</w:t>
            </w:r>
          </w:p>
          <w:p w:rsidR="00E57A1A" w:rsidRPr="008B5F72" w:rsidRDefault="00E57A1A">
            <w:pPr>
              <w:pStyle w:val="a4"/>
              <w:spacing w:line="240" w:lineRule="auto"/>
              <w:jc w:val="center"/>
              <w:rPr>
                <w:bCs/>
              </w:rPr>
            </w:pPr>
            <w:r w:rsidRPr="008B5F72">
              <w:rPr>
                <w:bCs/>
              </w:rPr>
              <w:t>(</w:t>
            </w:r>
            <w:r w:rsidR="005D23B9">
              <w:rPr>
                <w:bCs/>
              </w:rPr>
              <w:t>1</w:t>
            </w:r>
            <w:r w:rsidRPr="008B5F72">
              <w:rPr>
                <w:bCs/>
              </w:rPr>
              <w:t>%)</w:t>
            </w:r>
          </w:p>
        </w:tc>
        <w:tc>
          <w:tcPr>
            <w:tcW w:w="2700" w:type="dxa"/>
            <w:shd w:val="clear" w:color="auto" w:fill="auto"/>
          </w:tcPr>
          <w:p w:rsidR="00B355BF" w:rsidRPr="008B5F72" w:rsidRDefault="00755C75" w:rsidP="00B355BF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44</w:t>
            </w:r>
            <w:r w:rsidR="00B355BF" w:rsidRPr="008B5F72">
              <w:rPr>
                <w:bCs/>
              </w:rPr>
              <w:t xml:space="preserve"> человек</w:t>
            </w:r>
            <w:r w:rsidR="007E151D">
              <w:rPr>
                <w:bCs/>
              </w:rPr>
              <w:t>а</w:t>
            </w:r>
          </w:p>
          <w:p w:rsidR="00E57A1A" w:rsidRPr="008A658A" w:rsidRDefault="00B355BF" w:rsidP="00671867">
            <w:pPr>
              <w:pStyle w:val="a4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B5F72">
              <w:rPr>
                <w:bCs/>
              </w:rPr>
              <w:t>(</w:t>
            </w:r>
            <w:r w:rsidR="00671867">
              <w:rPr>
                <w:bCs/>
                <w:lang w:val="en-US"/>
              </w:rPr>
              <w:t>2</w:t>
            </w:r>
            <w:r w:rsidRPr="008B5F72">
              <w:rPr>
                <w:bCs/>
              </w:rPr>
              <w:t>%)</w:t>
            </w:r>
          </w:p>
        </w:tc>
      </w:tr>
    </w:tbl>
    <w:p w:rsidR="008A658A" w:rsidRDefault="008A658A" w:rsidP="008A658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72E" w:rsidRPr="00E232B8" w:rsidRDefault="0042672E" w:rsidP="00426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2B8">
        <w:rPr>
          <w:rFonts w:ascii="Times New Roman" w:hAnsi="Times New Roman"/>
          <w:b/>
          <w:sz w:val="28"/>
          <w:szCs w:val="28"/>
        </w:rPr>
        <w:t>Поликлиника</w:t>
      </w:r>
    </w:p>
    <w:tbl>
      <w:tblPr>
        <w:tblStyle w:val="a6"/>
        <w:tblW w:w="9468" w:type="dxa"/>
        <w:tblLook w:val="01E0"/>
      </w:tblPr>
      <w:tblGrid>
        <w:gridCol w:w="1257"/>
        <w:gridCol w:w="2631"/>
        <w:gridCol w:w="2880"/>
        <w:gridCol w:w="2700"/>
      </w:tblGrid>
      <w:tr w:rsidR="0042672E" w:rsidRPr="008A658A" w:rsidTr="0042672E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42672E" w:rsidP="0042672E">
            <w:pPr>
              <w:pStyle w:val="a4"/>
              <w:spacing w:line="240" w:lineRule="auto"/>
              <w:rPr>
                <w:bCs/>
              </w:rPr>
            </w:pPr>
            <w:r w:rsidRPr="008B5F72">
              <w:rPr>
                <w:bCs/>
              </w:rPr>
              <w:t>Женщин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42672E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18 - 4</w:t>
            </w:r>
            <w:r w:rsidRPr="008B5F72">
              <w:rPr>
                <w:bCs/>
              </w:rPr>
              <w:t>4 лет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42672E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45 - 59</w:t>
            </w:r>
            <w:r w:rsidRPr="008B5F72">
              <w:rPr>
                <w:bCs/>
              </w:rPr>
              <w:t xml:space="preserve"> лет</w:t>
            </w:r>
          </w:p>
        </w:tc>
        <w:tc>
          <w:tcPr>
            <w:tcW w:w="2700" w:type="dxa"/>
            <w:shd w:val="clear" w:color="auto" w:fill="auto"/>
          </w:tcPr>
          <w:p w:rsidR="0042672E" w:rsidRPr="008A658A" w:rsidRDefault="0042672E" w:rsidP="0042672E">
            <w:pPr>
              <w:pStyle w:val="a4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</w:rPr>
              <w:t>60</w:t>
            </w:r>
            <w:r w:rsidRPr="008B5F72">
              <w:rPr>
                <w:bCs/>
              </w:rPr>
              <w:t xml:space="preserve"> лет и старше</w:t>
            </w:r>
          </w:p>
        </w:tc>
      </w:tr>
      <w:tr w:rsidR="0042672E" w:rsidRPr="008A658A" w:rsidTr="0042672E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A658A" w:rsidRDefault="003F5C23" w:rsidP="001D1073">
            <w:pPr>
              <w:pStyle w:val="a4"/>
              <w:spacing w:line="240" w:lineRule="auto"/>
              <w:rPr>
                <w:bCs/>
                <w:highlight w:val="yellow"/>
              </w:rPr>
            </w:pPr>
            <w:r>
              <w:rPr>
                <w:bCs/>
              </w:rPr>
              <w:t>1012</w:t>
            </w:r>
            <w:r w:rsidR="0042672E" w:rsidRPr="008B5F72">
              <w:rPr>
                <w:bCs/>
              </w:rPr>
              <w:t xml:space="preserve"> чел. (</w:t>
            </w:r>
            <w:r w:rsidR="001D1073">
              <w:rPr>
                <w:bCs/>
              </w:rPr>
              <w:t>58</w:t>
            </w:r>
            <w:r w:rsidR="0042672E" w:rsidRPr="008B5F72">
              <w:rPr>
                <w:bCs/>
              </w:rPr>
              <w:t>%)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3F5C23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316 </w:t>
            </w:r>
            <w:r w:rsidR="0042672E" w:rsidRPr="008B5F72">
              <w:rPr>
                <w:bCs/>
              </w:rPr>
              <w:t>человек</w:t>
            </w:r>
          </w:p>
          <w:p w:rsidR="0042672E" w:rsidRPr="008B5F72" w:rsidRDefault="0042672E" w:rsidP="002009C8">
            <w:pPr>
              <w:pStyle w:val="a4"/>
              <w:spacing w:line="240" w:lineRule="auto"/>
              <w:jc w:val="center"/>
              <w:rPr>
                <w:bCs/>
              </w:rPr>
            </w:pPr>
            <w:r w:rsidRPr="008B5F72">
              <w:rPr>
                <w:bCs/>
              </w:rPr>
              <w:t>(</w:t>
            </w:r>
            <w:r w:rsidR="00F611ED">
              <w:rPr>
                <w:bCs/>
              </w:rPr>
              <w:t>1</w:t>
            </w:r>
            <w:r w:rsidR="002009C8">
              <w:rPr>
                <w:bCs/>
              </w:rPr>
              <w:t>8</w:t>
            </w:r>
            <w:r w:rsidRPr="008B5F72">
              <w:rPr>
                <w:bCs/>
              </w:rPr>
              <w:t>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3F5C23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264</w:t>
            </w:r>
            <w:r w:rsidR="0042672E">
              <w:rPr>
                <w:bCs/>
              </w:rPr>
              <w:t xml:space="preserve"> человек</w:t>
            </w:r>
            <w:r w:rsidR="007E151D">
              <w:rPr>
                <w:bCs/>
              </w:rPr>
              <w:t>а</w:t>
            </w:r>
          </w:p>
          <w:p w:rsidR="0042672E" w:rsidRPr="008B5F72" w:rsidRDefault="0042672E" w:rsidP="002009C8">
            <w:pPr>
              <w:pStyle w:val="a4"/>
              <w:spacing w:line="240" w:lineRule="auto"/>
              <w:jc w:val="center"/>
              <w:rPr>
                <w:bCs/>
              </w:rPr>
            </w:pPr>
            <w:r w:rsidRPr="008B5F72">
              <w:rPr>
                <w:bCs/>
              </w:rPr>
              <w:t>(</w:t>
            </w:r>
            <w:r w:rsidR="00600C99">
              <w:rPr>
                <w:bCs/>
              </w:rPr>
              <w:t>1</w:t>
            </w:r>
            <w:r w:rsidR="002009C8">
              <w:rPr>
                <w:bCs/>
              </w:rPr>
              <w:t>5</w:t>
            </w:r>
            <w:r w:rsidRPr="008B5F72">
              <w:rPr>
                <w:bCs/>
              </w:rPr>
              <w:t>%)</w:t>
            </w:r>
          </w:p>
        </w:tc>
        <w:tc>
          <w:tcPr>
            <w:tcW w:w="2700" w:type="dxa"/>
            <w:shd w:val="clear" w:color="auto" w:fill="auto"/>
          </w:tcPr>
          <w:p w:rsidR="0042672E" w:rsidRPr="008B5F72" w:rsidRDefault="003F5C23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432</w:t>
            </w:r>
            <w:r w:rsidR="0042672E" w:rsidRPr="008B5F72">
              <w:rPr>
                <w:bCs/>
              </w:rPr>
              <w:t xml:space="preserve"> человек</w:t>
            </w:r>
          </w:p>
          <w:p w:rsidR="0042672E" w:rsidRPr="008A658A" w:rsidRDefault="0042672E" w:rsidP="002009C8">
            <w:pPr>
              <w:pStyle w:val="a4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B5F72">
              <w:rPr>
                <w:bCs/>
              </w:rPr>
              <w:t>(</w:t>
            </w:r>
            <w:r w:rsidR="00671867">
              <w:rPr>
                <w:bCs/>
                <w:lang w:val="en-US"/>
              </w:rPr>
              <w:t>2</w:t>
            </w:r>
            <w:r w:rsidR="002009C8">
              <w:rPr>
                <w:bCs/>
              </w:rPr>
              <w:t>5</w:t>
            </w:r>
            <w:r w:rsidRPr="008B5F72">
              <w:rPr>
                <w:bCs/>
              </w:rPr>
              <w:t>%)</w:t>
            </w:r>
          </w:p>
        </w:tc>
      </w:tr>
      <w:tr w:rsidR="0042672E" w:rsidRPr="008A658A" w:rsidTr="0042672E">
        <w:trPr>
          <w:gridAfter w:val="1"/>
          <w:wAfter w:w="2700" w:type="dxa"/>
        </w:trPr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72E" w:rsidRPr="008A658A" w:rsidRDefault="0042672E" w:rsidP="0042672E">
            <w:pPr>
              <w:pStyle w:val="a4"/>
              <w:spacing w:line="240" w:lineRule="auto"/>
              <w:rPr>
                <w:bCs/>
                <w:highlight w:val="yellow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72E" w:rsidRPr="008B5F72" w:rsidRDefault="0042672E" w:rsidP="0042672E">
            <w:pPr>
              <w:pStyle w:val="a4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672E" w:rsidRPr="008B5F72" w:rsidRDefault="0042672E" w:rsidP="0042672E">
            <w:pPr>
              <w:pStyle w:val="a4"/>
              <w:spacing w:line="240" w:lineRule="auto"/>
              <w:jc w:val="center"/>
              <w:rPr>
                <w:bCs/>
              </w:rPr>
            </w:pPr>
          </w:p>
        </w:tc>
      </w:tr>
      <w:tr w:rsidR="0042672E" w:rsidRPr="008A658A" w:rsidTr="0042672E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A658A" w:rsidRDefault="0042672E" w:rsidP="0042672E">
            <w:pPr>
              <w:pStyle w:val="a4"/>
              <w:spacing w:line="240" w:lineRule="auto"/>
              <w:rPr>
                <w:bCs/>
                <w:highlight w:val="yellow"/>
              </w:rPr>
            </w:pPr>
            <w:r w:rsidRPr="008B5F72">
              <w:rPr>
                <w:bCs/>
              </w:rPr>
              <w:t>Мужчин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42672E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18 - 44</w:t>
            </w:r>
            <w:r w:rsidRPr="008B5F72">
              <w:rPr>
                <w:bCs/>
              </w:rPr>
              <w:t xml:space="preserve"> лет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42672E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45 - 59</w:t>
            </w:r>
            <w:r w:rsidRPr="008B5F72">
              <w:rPr>
                <w:bCs/>
              </w:rPr>
              <w:t xml:space="preserve"> лет</w:t>
            </w:r>
          </w:p>
        </w:tc>
        <w:tc>
          <w:tcPr>
            <w:tcW w:w="2700" w:type="dxa"/>
            <w:shd w:val="clear" w:color="auto" w:fill="auto"/>
          </w:tcPr>
          <w:p w:rsidR="0042672E" w:rsidRPr="008A658A" w:rsidRDefault="0042672E" w:rsidP="0042672E">
            <w:pPr>
              <w:pStyle w:val="a4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B5F72">
              <w:rPr>
                <w:bCs/>
              </w:rPr>
              <w:t>60 лет и старше</w:t>
            </w:r>
          </w:p>
        </w:tc>
      </w:tr>
      <w:tr w:rsidR="0042672E" w:rsidRPr="008A658A" w:rsidTr="0042672E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A658A" w:rsidRDefault="003F5C23" w:rsidP="007E151D">
            <w:pPr>
              <w:pStyle w:val="a4"/>
              <w:spacing w:line="240" w:lineRule="auto"/>
              <w:rPr>
                <w:bCs/>
                <w:highlight w:val="yellow"/>
              </w:rPr>
            </w:pPr>
            <w:r>
              <w:rPr>
                <w:bCs/>
              </w:rPr>
              <w:t>536</w:t>
            </w:r>
            <w:r w:rsidR="0042672E" w:rsidRPr="008B5F72">
              <w:rPr>
                <w:bCs/>
              </w:rPr>
              <w:t xml:space="preserve"> чел. (</w:t>
            </w:r>
            <w:r w:rsidR="001D1073">
              <w:rPr>
                <w:bCs/>
              </w:rPr>
              <w:t>30</w:t>
            </w:r>
            <w:r w:rsidR="0042672E" w:rsidRPr="008B5F72">
              <w:rPr>
                <w:bCs/>
              </w:rPr>
              <w:t>%)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2A65F6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F5C23">
              <w:rPr>
                <w:bCs/>
              </w:rPr>
              <w:t>64</w:t>
            </w:r>
            <w:r w:rsidR="0042672E" w:rsidRPr="008B5F72">
              <w:rPr>
                <w:bCs/>
              </w:rPr>
              <w:t xml:space="preserve"> человек</w:t>
            </w:r>
            <w:r w:rsidR="007E151D">
              <w:rPr>
                <w:bCs/>
              </w:rPr>
              <w:t>а</w:t>
            </w:r>
          </w:p>
          <w:p w:rsidR="0042672E" w:rsidRPr="008B5F72" w:rsidRDefault="0042672E" w:rsidP="002009C8">
            <w:pPr>
              <w:pStyle w:val="a4"/>
              <w:spacing w:line="240" w:lineRule="auto"/>
              <w:jc w:val="center"/>
              <w:rPr>
                <w:bCs/>
              </w:rPr>
            </w:pPr>
            <w:r w:rsidRPr="008B5F72">
              <w:rPr>
                <w:bCs/>
              </w:rPr>
              <w:t>(</w:t>
            </w:r>
            <w:r w:rsidR="002009C8">
              <w:rPr>
                <w:bCs/>
              </w:rPr>
              <w:t>9</w:t>
            </w:r>
            <w:r w:rsidRPr="008B5F72">
              <w:rPr>
                <w:bCs/>
              </w:rPr>
              <w:t>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2E" w:rsidRPr="008B5F72" w:rsidRDefault="002A65F6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F5C23">
              <w:rPr>
                <w:bCs/>
              </w:rPr>
              <w:t>48</w:t>
            </w:r>
            <w:r w:rsidR="00600C99">
              <w:rPr>
                <w:bCs/>
              </w:rPr>
              <w:t xml:space="preserve"> </w:t>
            </w:r>
            <w:r w:rsidR="0042672E" w:rsidRPr="008B5F72">
              <w:rPr>
                <w:bCs/>
              </w:rPr>
              <w:t>человек</w:t>
            </w:r>
            <w:r w:rsidR="007E151D">
              <w:rPr>
                <w:bCs/>
              </w:rPr>
              <w:t>а</w:t>
            </w:r>
          </w:p>
          <w:p w:rsidR="0042672E" w:rsidRPr="008B5F72" w:rsidRDefault="0042672E" w:rsidP="002009C8">
            <w:pPr>
              <w:pStyle w:val="a4"/>
              <w:spacing w:line="240" w:lineRule="auto"/>
              <w:jc w:val="center"/>
              <w:rPr>
                <w:bCs/>
              </w:rPr>
            </w:pPr>
            <w:r w:rsidRPr="008B5F72">
              <w:rPr>
                <w:bCs/>
              </w:rPr>
              <w:t>(</w:t>
            </w:r>
            <w:r w:rsidR="002009C8">
              <w:rPr>
                <w:bCs/>
              </w:rPr>
              <w:t>8</w:t>
            </w:r>
            <w:r w:rsidRPr="008B5F72">
              <w:rPr>
                <w:bCs/>
              </w:rPr>
              <w:t>%)</w:t>
            </w:r>
          </w:p>
        </w:tc>
        <w:tc>
          <w:tcPr>
            <w:tcW w:w="2700" w:type="dxa"/>
            <w:shd w:val="clear" w:color="auto" w:fill="auto"/>
          </w:tcPr>
          <w:p w:rsidR="0042672E" w:rsidRPr="008B5F72" w:rsidRDefault="003F5C23" w:rsidP="0042672E">
            <w:pPr>
              <w:pStyle w:val="a4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224</w:t>
            </w:r>
            <w:r w:rsidR="0042672E" w:rsidRPr="008B5F72">
              <w:rPr>
                <w:bCs/>
              </w:rPr>
              <w:t xml:space="preserve"> человек</w:t>
            </w:r>
            <w:r w:rsidR="007E151D">
              <w:rPr>
                <w:bCs/>
              </w:rPr>
              <w:t>а</w:t>
            </w:r>
          </w:p>
          <w:p w:rsidR="0042672E" w:rsidRPr="008A658A" w:rsidRDefault="0042672E" w:rsidP="002009C8">
            <w:pPr>
              <w:pStyle w:val="a4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B5F72">
              <w:rPr>
                <w:bCs/>
              </w:rPr>
              <w:t>(</w:t>
            </w:r>
            <w:r w:rsidR="004906FB">
              <w:rPr>
                <w:bCs/>
              </w:rPr>
              <w:t>1</w:t>
            </w:r>
            <w:r w:rsidR="002009C8">
              <w:rPr>
                <w:bCs/>
              </w:rPr>
              <w:t>3</w:t>
            </w:r>
            <w:r w:rsidRPr="008B5F72">
              <w:rPr>
                <w:bCs/>
              </w:rPr>
              <w:t>%)</w:t>
            </w:r>
          </w:p>
        </w:tc>
      </w:tr>
    </w:tbl>
    <w:p w:rsidR="0042672E" w:rsidRDefault="0042672E" w:rsidP="008A658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72E" w:rsidRDefault="0042672E" w:rsidP="008A658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72E" w:rsidRPr="008A658A" w:rsidRDefault="0042672E" w:rsidP="008A658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146C6" w:rsidRDefault="008146C6" w:rsidP="008146C6">
      <w:pPr>
        <w:pStyle w:val="a4"/>
        <w:spacing w:line="240" w:lineRule="auto"/>
        <w:ind w:firstLine="720"/>
      </w:pPr>
      <w:r w:rsidRPr="00701BFD">
        <w:rPr>
          <w:szCs w:val="28"/>
        </w:rPr>
        <w:lastRenderedPageBreak/>
        <w:t>Пациенты, в</w:t>
      </w:r>
      <w:r w:rsidR="00EA4342" w:rsidRPr="00701BFD">
        <w:rPr>
          <w:szCs w:val="28"/>
        </w:rPr>
        <w:t xml:space="preserve"> период лечения в условиях </w:t>
      </w:r>
      <w:r w:rsidR="0023442D" w:rsidRPr="00644109">
        <w:rPr>
          <w:b/>
          <w:szCs w:val="28"/>
        </w:rPr>
        <w:t>стационара</w:t>
      </w:r>
      <w:r w:rsidRPr="00701BFD">
        <w:rPr>
          <w:szCs w:val="28"/>
        </w:rPr>
        <w:t>,</w:t>
      </w:r>
      <w:r w:rsidR="0023442D" w:rsidRPr="00701BFD">
        <w:rPr>
          <w:szCs w:val="28"/>
        </w:rPr>
        <w:t xml:space="preserve"> </w:t>
      </w:r>
      <w:r w:rsidR="004C0377" w:rsidRPr="00701BFD">
        <w:rPr>
          <w:szCs w:val="28"/>
        </w:rPr>
        <w:t xml:space="preserve">в большей </w:t>
      </w:r>
      <w:r w:rsidR="004C0377" w:rsidRPr="00AB63E4">
        <w:rPr>
          <w:szCs w:val="28"/>
        </w:rPr>
        <w:t xml:space="preserve">степени довольны сроками ожидания, </w:t>
      </w:r>
      <w:r w:rsidR="00AB63E4" w:rsidRPr="00AB63E4">
        <w:t>обеспечением расходными материалами,</w:t>
      </w:r>
      <w:r w:rsidR="00AB63E4" w:rsidRPr="00701BFD">
        <w:rPr>
          <w:szCs w:val="28"/>
        </w:rPr>
        <w:t xml:space="preserve"> </w:t>
      </w:r>
      <w:r w:rsidR="004C0377" w:rsidRPr="00701BFD">
        <w:rPr>
          <w:szCs w:val="28"/>
        </w:rPr>
        <w:t>информированием врачом о проведенных исследованиях</w:t>
      </w:r>
      <w:r w:rsidR="00AB63E4">
        <w:rPr>
          <w:szCs w:val="28"/>
        </w:rPr>
        <w:t xml:space="preserve"> и назначениях врача,</w:t>
      </w:r>
      <w:r w:rsidR="00AB63E4" w:rsidRPr="00AB63E4">
        <w:t xml:space="preserve"> </w:t>
      </w:r>
      <w:r w:rsidR="00AB63E4" w:rsidRPr="00701BFD">
        <w:t>питанием</w:t>
      </w:r>
      <w:r w:rsidR="00AB63E4" w:rsidRPr="00701BFD">
        <w:rPr>
          <w:szCs w:val="28"/>
        </w:rPr>
        <w:t xml:space="preserve"> получаемым в стационарных условиях</w:t>
      </w:r>
      <w:r w:rsidR="00AB63E4">
        <w:rPr>
          <w:szCs w:val="28"/>
        </w:rPr>
        <w:t xml:space="preserve">, </w:t>
      </w:r>
      <w:r w:rsidR="00701BFD" w:rsidRPr="00701BFD">
        <w:t xml:space="preserve">оказанием медицинской помощи – 99 %. </w:t>
      </w:r>
      <w:r w:rsidRPr="00701BFD">
        <w:t>Мень</w:t>
      </w:r>
      <w:r w:rsidR="00BA6A01" w:rsidRPr="00701BFD">
        <w:t xml:space="preserve">ше всего пациенты </w:t>
      </w:r>
      <w:r w:rsidR="00C95CFC" w:rsidRPr="00701BFD">
        <w:t>удовлетворенн</w:t>
      </w:r>
      <w:r w:rsidR="004C0377" w:rsidRPr="00701BFD">
        <w:t>ы обеспечением лекарственными препаратами,</w:t>
      </w:r>
      <w:r w:rsidR="0033718C" w:rsidRPr="0033718C">
        <w:t xml:space="preserve"> </w:t>
      </w:r>
      <w:r w:rsidR="0033718C" w:rsidRPr="00701BFD">
        <w:t xml:space="preserve">санитарно гигиеническим состоянием медицинской  организации </w:t>
      </w:r>
      <w:r w:rsidRPr="00701BFD">
        <w:t xml:space="preserve">– </w:t>
      </w:r>
      <w:r w:rsidR="00C95CFC" w:rsidRPr="00701BFD">
        <w:t>9</w:t>
      </w:r>
      <w:r w:rsidR="004C0377" w:rsidRPr="00701BFD">
        <w:t>8</w:t>
      </w:r>
      <w:r w:rsidR="00F06C0D" w:rsidRPr="00701BFD">
        <w:t>%.</w:t>
      </w:r>
      <w:r w:rsidR="000A0115" w:rsidRPr="00701BFD">
        <w:t xml:space="preserve"> (Табл. 2</w:t>
      </w:r>
      <w:r w:rsidR="00E12704" w:rsidRPr="00701BFD">
        <w:t>)</w:t>
      </w:r>
    </w:p>
    <w:p w:rsidR="00BF1AFA" w:rsidRDefault="000A0115" w:rsidP="00403B6A">
      <w:pPr>
        <w:pStyle w:val="a4"/>
        <w:spacing w:line="240" w:lineRule="auto"/>
        <w:ind w:firstLine="720"/>
        <w:jc w:val="center"/>
      </w:pPr>
      <w:r>
        <w:t xml:space="preserve">                                                                                         </w:t>
      </w:r>
    </w:p>
    <w:p w:rsidR="000A0115" w:rsidRDefault="00BF1AFA" w:rsidP="000A0115">
      <w:pPr>
        <w:pStyle w:val="a4"/>
        <w:spacing w:line="240" w:lineRule="auto"/>
        <w:ind w:firstLine="720"/>
        <w:jc w:val="center"/>
      </w:pPr>
      <w:r>
        <w:t xml:space="preserve">                                                                                          </w:t>
      </w:r>
      <w:r w:rsidR="000A0115">
        <w:t>Таблица 2</w:t>
      </w:r>
    </w:p>
    <w:tbl>
      <w:tblPr>
        <w:tblW w:w="8820" w:type="dxa"/>
        <w:tblInd w:w="93" w:type="dxa"/>
        <w:tblLook w:val="0000"/>
      </w:tblPr>
      <w:tblGrid>
        <w:gridCol w:w="560"/>
        <w:gridCol w:w="3860"/>
        <w:gridCol w:w="2280"/>
        <w:gridCol w:w="2120"/>
      </w:tblGrid>
      <w:tr w:rsidR="000A0115" w:rsidRPr="000A0115" w:rsidTr="00131B47">
        <w:trPr>
          <w:trHeight w:val="276"/>
        </w:trPr>
        <w:tc>
          <w:tcPr>
            <w:tcW w:w="8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8C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1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стационарной помощи по результатам анкетирования </w:t>
            </w:r>
          </w:p>
          <w:p w:rsidR="000A0115" w:rsidRPr="000A0115" w:rsidRDefault="00A628C5" w:rsidP="000A0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разрезе вопросов</w:t>
            </w:r>
          </w:p>
        </w:tc>
      </w:tr>
      <w:tr w:rsidR="000A0115" w:rsidRPr="000A0115" w:rsidTr="00131B47">
        <w:trPr>
          <w:trHeight w:val="276"/>
        </w:trPr>
        <w:tc>
          <w:tcPr>
            <w:tcW w:w="8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115" w:rsidRPr="000A0115" w:rsidRDefault="000A0115" w:rsidP="000A0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A0115" w:rsidRPr="000A0115" w:rsidTr="00131B47">
        <w:trPr>
          <w:trHeight w:val="1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47" w:rsidRPr="000A0115" w:rsidTr="00131B47">
        <w:trPr>
          <w:trHeight w:val="1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47" w:rsidRPr="000A0115" w:rsidRDefault="00131B47" w:rsidP="000A0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11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1B47" w:rsidRPr="000A0115" w:rsidRDefault="00131B47" w:rsidP="000A0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1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Вопросы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47" w:rsidRPr="000A0115" w:rsidRDefault="00131B47" w:rsidP="000A0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115">
              <w:rPr>
                <w:rFonts w:ascii="Times New Roman" w:hAnsi="Times New Roman"/>
                <w:b/>
                <w:bCs/>
                <w:sz w:val="24"/>
                <w:szCs w:val="24"/>
              </w:rPr>
              <w:t>Удовлетворено (чел)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47" w:rsidRPr="000A0115" w:rsidRDefault="00131B47" w:rsidP="000A0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115">
              <w:rPr>
                <w:rFonts w:ascii="Times New Roman" w:hAnsi="Times New Roman"/>
                <w:b/>
                <w:bCs/>
                <w:sz w:val="24"/>
                <w:szCs w:val="24"/>
              </w:rPr>
              <w:t>Удовлетворено (%)</w:t>
            </w:r>
          </w:p>
        </w:tc>
      </w:tr>
      <w:tr w:rsidR="000A0115" w:rsidRPr="000A0115" w:rsidTr="00131B47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Оценка удовлетворенности сроками ожидания плановой госпитализации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3F5C23" w:rsidP="004A6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72887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0A0115" w:rsidRPr="000A0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A0115" w:rsidRPr="000A0115" w:rsidTr="00131B47">
        <w:trPr>
          <w:trHeight w:val="12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Оценка удовлетворенности обеспечением лекарственными</w:t>
            </w:r>
            <w:r w:rsidR="0042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115">
              <w:rPr>
                <w:rFonts w:ascii="Times New Roman" w:hAnsi="Times New Roman"/>
                <w:sz w:val="24"/>
                <w:szCs w:val="24"/>
              </w:rPr>
              <w:t>препаратами при стационарном лечении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3F5C23" w:rsidP="004A6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72887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0A0115" w:rsidRPr="000A0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A0115" w:rsidRPr="000A0115" w:rsidTr="00131B47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Оценка удовлетворенности обеспечением расходными материалами при стационарном лечении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3F5C23" w:rsidP="004A6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72887" w:rsidP="004A6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A6E2A">
              <w:rPr>
                <w:rFonts w:ascii="Times New Roman" w:hAnsi="Times New Roman"/>
                <w:sz w:val="24"/>
                <w:szCs w:val="24"/>
              </w:rPr>
              <w:t>9</w:t>
            </w:r>
            <w:r w:rsidR="000A0115" w:rsidRPr="000A0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A0115" w:rsidRPr="000A0115" w:rsidTr="00131B4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Оценка удовле</w:t>
            </w:r>
            <w:r w:rsidR="0042672E">
              <w:rPr>
                <w:rFonts w:ascii="Times New Roman" w:hAnsi="Times New Roman"/>
                <w:sz w:val="24"/>
                <w:szCs w:val="24"/>
              </w:rPr>
              <w:t>т</w:t>
            </w:r>
            <w:r w:rsidRPr="000A0115">
              <w:rPr>
                <w:rFonts w:ascii="Times New Roman" w:hAnsi="Times New Roman"/>
                <w:sz w:val="24"/>
                <w:szCs w:val="24"/>
              </w:rPr>
              <w:t>воренности информированием врачом о проведенных исследованиях и назначениях врача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3F5C23" w:rsidP="004A6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72887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0A0115" w:rsidRPr="000A0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A0115" w:rsidRPr="000A0115" w:rsidTr="00131B47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Оценка удовлетворенности питанием получаемым в стационарных условиях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72887" w:rsidRDefault="003F5C23" w:rsidP="004A6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72887" w:rsidP="00C40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0A0115" w:rsidRPr="000A0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A0115" w:rsidRPr="000A0115" w:rsidTr="00131B47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Оценка удовлетворенности санитарно гигиеническим состоянием медицинской</w:t>
            </w:r>
            <w:r w:rsidR="0042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115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72887" w:rsidRDefault="003F5C23" w:rsidP="004A6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0A0115" w:rsidRPr="000A0115" w:rsidRDefault="00072887" w:rsidP="00623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2341D">
              <w:rPr>
                <w:rFonts w:ascii="Times New Roman" w:hAnsi="Times New Roman"/>
                <w:sz w:val="24"/>
                <w:szCs w:val="24"/>
              </w:rPr>
              <w:t>8</w:t>
            </w:r>
            <w:r w:rsidR="000A0115" w:rsidRPr="000A0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A0115" w:rsidRPr="000A0115" w:rsidTr="00131B47">
        <w:trPr>
          <w:trHeight w:val="6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0115" w:rsidRPr="000A0115" w:rsidRDefault="000A0115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15">
              <w:rPr>
                <w:rFonts w:ascii="Times New Roman" w:hAnsi="Times New Roman"/>
                <w:sz w:val="24"/>
                <w:szCs w:val="24"/>
              </w:rPr>
              <w:t>Оценка удовлетворенности оказанием</w:t>
            </w:r>
            <w:r w:rsidR="0042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115">
              <w:rPr>
                <w:rFonts w:ascii="Times New Roman" w:hAnsi="Times New Roman"/>
                <w:sz w:val="24"/>
                <w:szCs w:val="24"/>
              </w:rPr>
              <w:t>медицинской помощи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0115" w:rsidRPr="000A0115" w:rsidRDefault="003F5C23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A0115" w:rsidRPr="000A0115" w:rsidRDefault="00072887" w:rsidP="000A0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0A0115" w:rsidRPr="000A0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0A0115" w:rsidRDefault="000A0115" w:rsidP="008146C6">
      <w:pPr>
        <w:pStyle w:val="a4"/>
        <w:spacing w:line="240" w:lineRule="auto"/>
        <w:ind w:firstLine="720"/>
      </w:pPr>
    </w:p>
    <w:p w:rsidR="0062341D" w:rsidRPr="00130D2B" w:rsidRDefault="001D1073" w:rsidP="0067503A">
      <w:pPr>
        <w:pStyle w:val="a4"/>
        <w:spacing w:line="240" w:lineRule="auto"/>
        <w:ind w:firstLine="720"/>
        <w:rPr>
          <w:szCs w:val="28"/>
        </w:rPr>
      </w:pPr>
      <w:r w:rsidRPr="00130D2B">
        <w:rPr>
          <w:szCs w:val="28"/>
        </w:rPr>
        <w:t>Из все опрошенных</w:t>
      </w:r>
      <w:r w:rsidR="00732643" w:rsidRPr="00130D2B">
        <w:rPr>
          <w:szCs w:val="28"/>
        </w:rPr>
        <w:t>,</w:t>
      </w:r>
      <w:r w:rsidRPr="00130D2B">
        <w:rPr>
          <w:szCs w:val="28"/>
        </w:rPr>
        <w:t xml:space="preserve"> </w:t>
      </w:r>
      <w:r w:rsidR="00605314" w:rsidRPr="00130D2B">
        <w:rPr>
          <w:szCs w:val="28"/>
        </w:rPr>
        <w:t>пациенты</w:t>
      </w:r>
      <w:r w:rsidR="0062341D" w:rsidRPr="00130D2B">
        <w:rPr>
          <w:szCs w:val="28"/>
        </w:rPr>
        <w:t xml:space="preserve"> </w:t>
      </w:r>
      <w:r w:rsidRPr="00130D2B">
        <w:rPr>
          <w:szCs w:val="28"/>
        </w:rPr>
        <w:t xml:space="preserve">не </w:t>
      </w:r>
      <w:r w:rsidR="0062341D" w:rsidRPr="00130D2B">
        <w:rPr>
          <w:szCs w:val="28"/>
        </w:rPr>
        <w:t xml:space="preserve">удовлетворены </w:t>
      </w:r>
      <w:r w:rsidR="00130D2B" w:rsidRPr="00130D2B">
        <w:rPr>
          <w:szCs w:val="28"/>
        </w:rPr>
        <w:t xml:space="preserve">обеспечением лекарственными препаратами </w:t>
      </w:r>
      <w:r w:rsidRPr="00130D2B">
        <w:rPr>
          <w:szCs w:val="28"/>
        </w:rPr>
        <w:t xml:space="preserve">в </w:t>
      </w:r>
      <w:r w:rsidR="004224D6" w:rsidRPr="00130D2B">
        <w:rPr>
          <w:szCs w:val="28"/>
        </w:rPr>
        <w:t>ОГБУЗ "ЯКОВЛЕВСКАЯ ЦРБ"</w:t>
      </w:r>
      <w:r w:rsidR="00732643" w:rsidRPr="00130D2B">
        <w:rPr>
          <w:szCs w:val="28"/>
        </w:rPr>
        <w:t xml:space="preserve">, </w:t>
      </w:r>
      <w:r w:rsidR="0062341D" w:rsidRPr="00130D2B">
        <w:rPr>
          <w:szCs w:val="28"/>
        </w:rPr>
        <w:t xml:space="preserve"> ОГБУЗ «Губкинская ЦРБ, ОГБУЗ «Городская поликлиника № 2 г. Белгорода», ОГБУЗ «Старооскольская окружная больница святителя Луки Крымского», не удовлетворен санитарно гигиеническим состоянием медицинской организации в ОГБУЗ «Городская поликлиника № 2 г. Белгорода», ОГБУЗ </w:t>
      </w:r>
      <w:r w:rsidR="0062341D" w:rsidRPr="00130D2B">
        <w:rPr>
          <w:szCs w:val="28"/>
        </w:rPr>
        <w:lastRenderedPageBreak/>
        <w:t xml:space="preserve">«Старооскольская окружная больница святителя Луки Крымского», ОГБУЗ "Белгородский областной онкологический диспансер». </w:t>
      </w:r>
    </w:p>
    <w:p w:rsidR="00E86343" w:rsidRDefault="00E86343" w:rsidP="0067503A">
      <w:pPr>
        <w:pStyle w:val="a4"/>
        <w:spacing w:line="240" w:lineRule="auto"/>
        <w:ind w:firstLine="720"/>
      </w:pPr>
    </w:p>
    <w:p w:rsidR="0067503A" w:rsidRDefault="0067503A" w:rsidP="0067503A">
      <w:pPr>
        <w:pStyle w:val="a4"/>
        <w:spacing w:line="240" w:lineRule="auto"/>
        <w:ind w:firstLine="720"/>
      </w:pPr>
      <w:r>
        <w:t xml:space="preserve">При получении медицинской помощи в </w:t>
      </w:r>
      <w:r w:rsidRPr="003D7953">
        <w:rPr>
          <w:b/>
        </w:rPr>
        <w:t>условиях стационара</w:t>
      </w:r>
      <w:r>
        <w:t xml:space="preserve"> </w:t>
      </w:r>
      <w:r w:rsidRPr="00644109">
        <w:rPr>
          <w:b/>
        </w:rPr>
        <w:t>общая оценка удовлетворенности</w:t>
      </w:r>
      <w:r w:rsidRPr="008A658A">
        <w:t xml:space="preserve"> в разрезе медицинских учреждений по результатам всех вопросов анкет составила </w:t>
      </w:r>
      <w:r>
        <w:t>9</w:t>
      </w:r>
      <w:r w:rsidR="004A6E2A">
        <w:t>9</w:t>
      </w:r>
      <w:r w:rsidRPr="008A658A">
        <w:t>%</w:t>
      </w:r>
      <w:r w:rsidRPr="00F15511">
        <w:t>.</w:t>
      </w:r>
      <w:r>
        <w:t xml:space="preserve"> (Рис.1)</w:t>
      </w:r>
    </w:p>
    <w:p w:rsidR="000A0115" w:rsidRDefault="000A0115" w:rsidP="008146C6">
      <w:pPr>
        <w:pStyle w:val="a4"/>
        <w:spacing w:line="240" w:lineRule="auto"/>
        <w:ind w:firstLine="720"/>
      </w:pPr>
    </w:p>
    <w:p w:rsidR="00DD303A" w:rsidRPr="00BF269C" w:rsidRDefault="008A658A" w:rsidP="008146C6">
      <w:pPr>
        <w:pStyle w:val="a4"/>
        <w:spacing w:line="240" w:lineRule="auto"/>
        <w:ind w:firstLine="720"/>
        <w:rPr>
          <w:szCs w:val="28"/>
        </w:rPr>
      </w:pPr>
      <w:r w:rsidRPr="00710665">
        <w:rPr>
          <w:szCs w:val="28"/>
        </w:rPr>
        <w:t>При получении помощи</w:t>
      </w:r>
      <w:r w:rsidR="003950A7" w:rsidRPr="00710665">
        <w:rPr>
          <w:szCs w:val="28"/>
        </w:rPr>
        <w:t xml:space="preserve"> </w:t>
      </w:r>
      <w:r w:rsidR="00A3262E" w:rsidRPr="00710665">
        <w:rPr>
          <w:szCs w:val="28"/>
        </w:rPr>
        <w:t xml:space="preserve">в </w:t>
      </w:r>
      <w:r w:rsidR="00A3262E" w:rsidRPr="00710665">
        <w:rPr>
          <w:b/>
          <w:szCs w:val="28"/>
        </w:rPr>
        <w:t>амбулаторно-поликлинических</w:t>
      </w:r>
      <w:r w:rsidR="00A3262E" w:rsidRPr="00710665">
        <w:rPr>
          <w:szCs w:val="28"/>
        </w:rPr>
        <w:t xml:space="preserve"> условиях</w:t>
      </w:r>
      <w:r w:rsidRPr="00710665">
        <w:rPr>
          <w:szCs w:val="28"/>
        </w:rPr>
        <w:t xml:space="preserve"> </w:t>
      </w:r>
      <w:r w:rsidR="00BA43F0" w:rsidRPr="00710665">
        <w:rPr>
          <w:szCs w:val="28"/>
        </w:rPr>
        <w:t>в результате</w:t>
      </w:r>
      <w:r w:rsidR="006953ED" w:rsidRPr="00710665">
        <w:rPr>
          <w:szCs w:val="28"/>
        </w:rPr>
        <w:t xml:space="preserve"> </w:t>
      </w:r>
      <w:r w:rsidRPr="00710665">
        <w:rPr>
          <w:szCs w:val="28"/>
        </w:rPr>
        <w:t xml:space="preserve">анкетирования </w:t>
      </w:r>
      <w:r w:rsidR="00352F13" w:rsidRPr="00710665">
        <w:rPr>
          <w:szCs w:val="28"/>
        </w:rPr>
        <w:t>застрахованные</w:t>
      </w:r>
      <w:r w:rsidR="00123BC6" w:rsidRPr="00710665">
        <w:rPr>
          <w:szCs w:val="28"/>
        </w:rPr>
        <w:t xml:space="preserve"> мен</w:t>
      </w:r>
      <w:r w:rsidR="002E7CA9" w:rsidRPr="00710665">
        <w:rPr>
          <w:szCs w:val="28"/>
        </w:rPr>
        <w:t>ее всего</w:t>
      </w:r>
      <w:r w:rsidR="00123BC6" w:rsidRPr="00710665">
        <w:rPr>
          <w:szCs w:val="28"/>
        </w:rPr>
        <w:t xml:space="preserve"> удовлетворены</w:t>
      </w:r>
      <w:r w:rsidRPr="00710665">
        <w:rPr>
          <w:szCs w:val="28"/>
        </w:rPr>
        <w:t xml:space="preserve">: </w:t>
      </w:r>
      <w:r w:rsidR="00E37EF6" w:rsidRPr="00710665">
        <w:rPr>
          <w:szCs w:val="28"/>
        </w:rPr>
        <w:t>сроками ожидания приема врачами – 9</w:t>
      </w:r>
      <w:r w:rsidR="00E37EF6">
        <w:rPr>
          <w:szCs w:val="28"/>
        </w:rPr>
        <w:t>3</w:t>
      </w:r>
      <w:r w:rsidR="00E37EF6" w:rsidRPr="00710665">
        <w:rPr>
          <w:szCs w:val="28"/>
        </w:rPr>
        <w:t>% ,</w:t>
      </w:r>
      <w:r w:rsidR="00123BC6" w:rsidRPr="00710665">
        <w:rPr>
          <w:szCs w:val="28"/>
        </w:rPr>
        <w:t>сроками</w:t>
      </w:r>
      <w:r w:rsidR="00F41BCE" w:rsidRPr="00710665">
        <w:rPr>
          <w:szCs w:val="28"/>
        </w:rPr>
        <w:t xml:space="preserve"> ожидания проведения консультаций врачей специалистов – </w:t>
      </w:r>
      <w:r w:rsidR="00BF269C" w:rsidRPr="00710665">
        <w:rPr>
          <w:szCs w:val="28"/>
        </w:rPr>
        <w:t>9</w:t>
      </w:r>
      <w:r w:rsidR="00E37EF6">
        <w:rPr>
          <w:szCs w:val="28"/>
        </w:rPr>
        <w:t>6</w:t>
      </w:r>
      <w:r w:rsidRPr="00710665">
        <w:rPr>
          <w:szCs w:val="28"/>
        </w:rPr>
        <w:t>%</w:t>
      </w:r>
      <w:r w:rsidR="005A499A">
        <w:rPr>
          <w:szCs w:val="28"/>
        </w:rPr>
        <w:t xml:space="preserve">, </w:t>
      </w:r>
      <w:r w:rsidR="00DD050F" w:rsidRPr="00710665">
        <w:rPr>
          <w:szCs w:val="28"/>
        </w:rPr>
        <w:t xml:space="preserve"> </w:t>
      </w:r>
      <w:r w:rsidR="005A499A" w:rsidRPr="00710665">
        <w:rPr>
          <w:szCs w:val="28"/>
        </w:rPr>
        <w:t xml:space="preserve">сроками ожидания проведения диагностических лабораторных исследований </w:t>
      </w:r>
      <w:r w:rsidR="005A499A">
        <w:rPr>
          <w:szCs w:val="28"/>
        </w:rPr>
        <w:t xml:space="preserve">- </w:t>
      </w:r>
      <w:r w:rsidR="00BF269C" w:rsidRPr="00710665">
        <w:rPr>
          <w:szCs w:val="28"/>
        </w:rPr>
        <w:t>9</w:t>
      </w:r>
      <w:r w:rsidR="00E37EF6">
        <w:rPr>
          <w:szCs w:val="28"/>
        </w:rPr>
        <w:t>6</w:t>
      </w:r>
      <w:r w:rsidR="00BF269C" w:rsidRPr="00710665">
        <w:rPr>
          <w:szCs w:val="28"/>
        </w:rPr>
        <w:t xml:space="preserve"> %</w:t>
      </w:r>
      <w:r w:rsidR="005A499A">
        <w:rPr>
          <w:szCs w:val="28"/>
        </w:rPr>
        <w:t>.</w:t>
      </w:r>
      <w:r w:rsidR="00BF269C" w:rsidRPr="00710665">
        <w:rPr>
          <w:szCs w:val="28"/>
        </w:rPr>
        <w:t xml:space="preserve"> </w:t>
      </w:r>
      <w:r w:rsidR="008146C6" w:rsidRPr="00710665">
        <w:rPr>
          <w:szCs w:val="28"/>
        </w:rPr>
        <w:t>Наибольшее</w:t>
      </w:r>
      <w:r w:rsidR="003844C9" w:rsidRPr="00710665">
        <w:rPr>
          <w:szCs w:val="28"/>
        </w:rPr>
        <w:t xml:space="preserve"> количество опрошенных застрахованных</w:t>
      </w:r>
      <w:r w:rsidR="008146C6" w:rsidRPr="00710665">
        <w:rPr>
          <w:szCs w:val="28"/>
        </w:rPr>
        <w:t xml:space="preserve"> </w:t>
      </w:r>
      <w:r w:rsidR="005A499A" w:rsidRPr="00710665">
        <w:rPr>
          <w:szCs w:val="28"/>
        </w:rPr>
        <w:t xml:space="preserve">удовлетворенны и оказанием медицинской помощью </w:t>
      </w:r>
      <w:r w:rsidR="005A499A">
        <w:rPr>
          <w:szCs w:val="28"/>
        </w:rPr>
        <w:t xml:space="preserve"> - 9</w:t>
      </w:r>
      <w:r w:rsidR="00E37EF6">
        <w:rPr>
          <w:szCs w:val="28"/>
        </w:rPr>
        <w:t>7</w:t>
      </w:r>
      <w:r w:rsidR="005A499A">
        <w:rPr>
          <w:szCs w:val="28"/>
        </w:rPr>
        <w:t xml:space="preserve">%, </w:t>
      </w:r>
      <w:r w:rsidR="004B4030" w:rsidRPr="00710665">
        <w:rPr>
          <w:szCs w:val="28"/>
        </w:rPr>
        <w:t>удовлетворены</w:t>
      </w:r>
      <w:r w:rsidR="008146C6" w:rsidRPr="00710665">
        <w:rPr>
          <w:szCs w:val="28"/>
        </w:rPr>
        <w:t xml:space="preserve"> </w:t>
      </w:r>
      <w:r w:rsidR="00BF269C" w:rsidRPr="00710665">
        <w:rPr>
          <w:szCs w:val="28"/>
        </w:rPr>
        <w:t xml:space="preserve">санитарно гигиеническим состоянием медицинской организации. </w:t>
      </w:r>
      <w:r w:rsidR="009369DF" w:rsidRPr="00710665">
        <w:rPr>
          <w:szCs w:val="28"/>
        </w:rPr>
        <w:t xml:space="preserve"> По данному вопросу</w:t>
      </w:r>
      <w:r w:rsidR="008146C6" w:rsidRPr="00710665">
        <w:rPr>
          <w:szCs w:val="28"/>
        </w:rPr>
        <w:t xml:space="preserve"> показатель составил</w:t>
      </w:r>
      <w:r w:rsidR="00E52972" w:rsidRPr="00710665">
        <w:rPr>
          <w:szCs w:val="28"/>
        </w:rPr>
        <w:t xml:space="preserve"> – </w:t>
      </w:r>
      <w:r w:rsidR="00BF269C" w:rsidRPr="00710665">
        <w:rPr>
          <w:szCs w:val="28"/>
        </w:rPr>
        <w:t>98</w:t>
      </w:r>
      <w:r w:rsidR="00E52972" w:rsidRPr="00710665">
        <w:rPr>
          <w:szCs w:val="28"/>
        </w:rPr>
        <w:t>%.</w:t>
      </w:r>
      <w:r w:rsidR="000A0115" w:rsidRPr="00710665">
        <w:rPr>
          <w:szCs w:val="28"/>
        </w:rPr>
        <w:t>(Табл. 3</w:t>
      </w:r>
      <w:r w:rsidR="00DD303A" w:rsidRPr="00710665">
        <w:rPr>
          <w:szCs w:val="28"/>
        </w:rPr>
        <w:t>)</w:t>
      </w:r>
    </w:p>
    <w:p w:rsidR="00BF1AFA" w:rsidRDefault="00DA02D2" w:rsidP="00DA02D2">
      <w:pPr>
        <w:pStyle w:val="a4"/>
        <w:spacing w:line="240" w:lineRule="auto"/>
        <w:ind w:firstLine="720"/>
        <w:jc w:val="center"/>
      </w:pPr>
      <w:r>
        <w:t xml:space="preserve">                                                                        </w:t>
      </w:r>
      <w:r w:rsidR="000A0115">
        <w:t xml:space="preserve">                      </w:t>
      </w:r>
    </w:p>
    <w:p w:rsidR="00DA02D2" w:rsidRDefault="00BF1AFA" w:rsidP="00DA02D2">
      <w:pPr>
        <w:pStyle w:val="a4"/>
        <w:spacing w:line="240" w:lineRule="auto"/>
        <w:ind w:firstLine="720"/>
        <w:jc w:val="center"/>
      </w:pPr>
      <w:r>
        <w:t xml:space="preserve">                                                                                                </w:t>
      </w:r>
      <w:r w:rsidR="000A0115">
        <w:t>Таблица 3</w:t>
      </w:r>
    </w:p>
    <w:tbl>
      <w:tblPr>
        <w:tblW w:w="8800" w:type="dxa"/>
        <w:tblInd w:w="288" w:type="dxa"/>
        <w:tblLook w:val="0000"/>
      </w:tblPr>
      <w:tblGrid>
        <w:gridCol w:w="560"/>
        <w:gridCol w:w="3840"/>
        <w:gridCol w:w="2280"/>
        <w:gridCol w:w="2120"/>
      </w:tblGrid>
      <w:tr w:rsidR="00DD303A" w:rsidRPr="00DD303A" w:rsidTr="00DD303A">
        <w:trPr>
          <w:trHeight w:val="276"/>
        </w:trPr>
        <w:tc>
          <w:tcPr>
            <w:tcW w:w="8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03A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амбулаторно-поликлинических условий по рез</w:t>
            </w:r>
            <w:r w:rsidR="00A628C5">
              <w:rPr>
                <w:rFonts w:ascii="Times New Roman" w:hAnsi="Times New Roman"/>
                <w:b/>
                <w:bCs/>
                <w:sz w:val="24"/>
                <w:szCs w:val="24"/>
              </w:rPr>
              <w:t>ультатам анкетирования в разрезе вопросов</w:t>
            </w:r>
          </w:p>
        </w:tc>
      </w:tr>
      <w:tr w:rsidR="00DD303A" w:rsidRPr="00DD303A" w:rsidTr="00DD303A">
        <w:trPr>
          <w:trHeight w:val="495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3A" w:rsidRPr="00DD303A" w:rsidRDefault="00DD303A" w:rsidP="00DD30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303A" w:rsidRPr="00DD303A" w:rsidTr="00DD303A">
        <w:trPr>
          <w:trHeight w:val="1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47" w:rsidRPr="00DD303A" w:rsidTr="00ED4C89">
        <w:trPr>
          <w:trHeight w:val="11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47" w:rsidRPr="00DD303A" w:rsidRDefault="00131B47" w:rsidP="00DD3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03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47" w:rsidRPr="00DD303A" w:rsidRDefault="00131B47" w:rsidP="00DD3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03A"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47" w:rsidRPr="00DD303A" w:rsidRDefault="00131B47" w:rsidP="00DD3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03A">
              <w:rPr>
                <w:rFonts w:ascii="Times New Roman" w:hAnsi="Times New Roman"/>
                <w:b/>
                <w:bCs/>
                <w:sz w:val="24"/>
                <w:szCs w:val="24"/>
              </w:rPr>
              <w:t>Удовлетворено (чел)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47" w:rsidRPr="00DD303A" w:rsidRDefault="00131B47" w:rsidP="00DD3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0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Удовлетворено (%) </w:t>
            </w:r>
          </w:p>
        </w:tc>
      </w:tr>
      <w:tr w:rsidR="00DD303A" w:rsidRPr="00DD303A" w:rsidTr="00ED4C89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Оценка удовлетворенности сроками ожидания приема врачами терапевтами участковыми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AF5B76" w:rsidRDefault="00C325DD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DD303A" w:rsidRDefault="00AF5B76" w:rsidP="00E37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37EF6">
              <w:rPr>
                <w:rFonts w:ascii="Times New Roman" w:hAnsi="Times New Roman"/>
                <w:sz w:val="24"/>
                <w:szCs w:val="24"/>
              </w:rPr>
              <w:t>6</w:t>
            </w:r>
            <w:r w:rsidR="00DD303A" w:rsidRPr="00DD30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D303A" w:rsidRPr="00DD303A" w:rsidTr="00DD303A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Оценка удовлетворенности сроками ожидания проведения консультаций врачей специалистов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DD303A" w:rsidRDefault="00C325DD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DD303A" w:rsidRDefault="005A499A" w:rsidP="00E37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37EF6">
              <w:rPr>
                <w:rFonts w:ascii="Times New Roman" w:hAnsi="Times New Roman"/>
                <w:sz w:val="24"/>
                <w:szCs w:val="24"/>
              </w:rPr>
              <w:t>3</w:t>
            </w:r>
            <w:r w:rsidR="00DD303A" w:rsidRPr="00DD30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D303A" w:rsidRPr="00DD303A" w:rsidTr="00DD303A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 xml:space="preserve">Оценка удовлетворенности </w:t>
            </w:r>
            <w:bookmarkStart w:id="0" w:name="OLE_LINK1"/>
            <w:r w:rsidRPr="00DD303A">
              <w:rPr>
                <w:rFonts w:ascii="Times New Roman" w:hAnsi="Times New Roman"/>
                <w:sz w:val="24"/>
                <w:szCs w:val="24"/>
              </w:rPr>
              <w:t>сроками ожидания проведения диагностических лабораторных исследований</w:t>
            </w:r>
            <w:bookmarkEnd w:id="0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DD303A" w:rsidRDefault="005A499A" w:rsidP="00C32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25DD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DD303A" w:rsidRDefault="00AF5B76" w:rsidP="00E37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37EF6">
              <w:rPr>
                <w:rFonts w:ascii="Times New Roman" w:hAnsi="Times New Roman"/>
                <w:sz w:val="24"/>
                <w:szCs w:val="24"/>
              </w:rPr>
              <w:t>6</w:t>
            </w:r>
            <w:r w:rsidR="00DD303A" w:rsidRPr="00DD30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D303A" w:rsidRPr="00DD303A" w:rsidTr="00131B47">
        <w:trPr>
          <w:trHeight w:val="10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Оценка удовлетворенности санитарно гигиеническим состоянием медицинской организации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ED4C89" w:rsidRDefault="00C325DD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ED4C89" w:rsidRDefault="00AF5B76" w:rsidP="0067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DD303A" w:rsidRPr="00ED4C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D303A" w:rsidRPr="00DD303A" w:rsidTr="00131B47">
        <w:trPr>
          <w:trHeight w:val="5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303A" w:rsidRPr="00DD303A" w:rsidRDefault="00DD303A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A">
              <w:rPr>
                <w:rFonts w:ascii="Times New Roman" w:hAnsi="Times New Roman"/>
                <w:sz w:val="24"/>
                <w:szCs w:val="24"/>
              </w:rPr>
              <w:t>Оценка удовлетворённости оказанием медицинской помощью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DD303A" w:rsidRDefault="00C325DD" w:rsidP="00DD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3A" w:rsidRPr="00DD303A" w:rsidRDefault="00AF5B76" w:rsidP="00E37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37EF6">
              <w:rPr>
                <w:rFonts w:ascii="Times New Roman" w:hAnsi="Times New Roman"/>
                <w:sz w:val="24"/>
                <w:szCs w:val="24"/>
              </w:rPr>
              <w:t>7</w:t>
            </w:r>
            <w:r w:rsidR="00DD303A" w:rsidRPr="00DD30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045F83" w:rsidRDefault="00045F83" w:rsidP="008146C6">
      <w:pPr>
        <w:pStyle w:val="a4"/>
        <w:spacing w:line="240" w:lineRule="auto"/>
        <w:ind w:firstLine="720"/>
      </w:pPr>
    </w:p>
    <w:p w:rsidR="00B6656D" w:rsidRDefault="00F25034" w:rsidP="008146C6">
      <w:pPr>
        <w:pStyle w:val="a4"/>
        <w:spacing w:line="240" w:lineRule="auto"/>
        <w:ind w:firstLine="720"/>
      </w:pPr>
      <w:r w:rsidRPr="008A658A">
        <w:t xml:space="preserve">Общая оценка удовлетворенности </w:t>
      </w:r>
      <w:r w:rsidRPr="005040DB">
        <w:rPr>
          <w:b/>
        </w:rPr>
        <w:t>амбулаторно-поликлинической помощи по всем вопросам</w:t>
      </w:r>
      <w:r w:rsidRPr="008A658A">
        <w:t xml:space="preserve"> анкеты в раз</w:t>
      </w:r>
      <w:r>
        <w:t xml:space="preserve">резе медицинских учреждений </w:t>
      </w:r>
      <w:r w:rsidR="00E86343">
        <w:t>за</w:t>
      </w:r>
      <w:r w:rsidR="00AF5B76">
        <w:t xml:space="preserve"> </w:t>
      </w:r>
      <w:r>
        <w:t>202</w:t>
      </w:r>
      <w:r w:rsidR="00AF5B76">
        <w:t>5</w:t>
      </w:r>
      <w:r w:rsidR="00E86343">
        <w:t xml:space="preserve"> год</w:t>
      </w:r>
      <w:r>
        <w:t xml:space="preserve"> составила </w:t>
      </w:r>
      <w:r w:rsidR="006313BA">
        <w:t>9</w:t>
      </w:r>
      <w:r w:rsidR="000A376D">
        <w:t>7</w:t>
      </w:r>
      <w:r w:rsidRPr="008A658A">
        <w:t>%</w:t>
      </w:r>
      <w:r>
        <w:t>.</w:t>
      </w:r>
      <w:r w:rsidR="008146C6">
        <w:t xml:space="preserve"> </w:t>
      </w:r>
      <w:r w:rsidR="005040DB">
        <w:t>(Рис.2)</w:t>
      </w:r>
    </w:p>
    <w:p w:rsidR="00E86343" w:rsidRDefault="003D7953" w:rsidP="003D7953">
      <w:pPr>
        <w:jc w:val="both"/>
        <w:rPr>
          <w:rFonts w:ascii="Times New Roman" w:hAnsi="Times New Roman"/>
          <w:sz w:val="28"/>
          <w:szCs w:val="28"/>
        </w:rPr>
      </w:pPr>
      <w:r w:rsidRPr="003D7953">
        <w:rPr>
          <w:rFonts w:ascii="Times New Roman" w:hAnsi="Times New Roman"/>
          <w:sz w:val="28"/>
          <w:szCs w:val="28"/>
        </w:rPr>
        <w:t xml:space="preserve">        </w:t>
      </w:r>
    </w:p>
    <w:p w:rsidR="00E12495" w:rsidRDefault="00E86343" w:rsidP="00E1249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3D7953" w:rsidRPr="003D7953">
        <w:rPr>
          <w:rFonts w:ascii="Times New Roman" w:hAnsi="Times New Roman"/>
          <w:sz w:val="28"/>
          <w:szCs w:val="28"/>
        </w:rPr>
        <w:t xml:space="preserve">    </w:t>
      </w:r>
      <w:r w:rsidR="008A658A" w:rsidRPr="003D7953">
        <w:rPr>
          <w:rFonts w:ascii="Times New Roman" w:hAnsi="Times New Roman"/>
          <w:sz w:val="28"/>
          <w:szCs w:val="28"/>
        </w:rPr>
        <w:t>Наименьший процент удовлетворенности</w:t>
      </w:r>
      <w:r w:rsidR="00352F13" w:rsidRPr="003D7953">
        <w:rPr>
          <w:rFonts w:ascii="Times New Roman" w:hAnsi="Times New Roman"/>
          <w:sz w:val="28"/>
          <w:szCs w:val="28"/>
        </w:rPr>
        <w:t xml:space="preserve"> </w:t>
      </w:r>
      <w:r w:rsidR="00352F13" w:rsidRPr="003D7953">
        <w:rPr>
          <w:rFonts w:ascii="Times New Roman" w:hAnsi="Times New Roman"/>
          <w:bCs/>
          <w:sz w:val="28"/>
          <w:szCs w:val="28"/>
        </w:rPr>
        <w:t>деятельностью медицинских организаций</w:t>
      </w:r>
      <w:r w:rsidR="003844C9" w:rsidRPr="003D7953">
        <w:rPr>
          <w:rFonts w:ascii="Times New Roman" w:hAnsi="Times New Roman"/>
          <w:bCs/>
          <w:sz w:val="28"/>
          <w:szCs w:val="28"/>
        </w:rPr>
        <w:t xml:space="preserve"> в </w:t>
      </w:r>
      <w:r w:rsidR="003844C9" w:rsidRPr="003D7953">
        <w:rPr>
          <w:rFonts w:ascii="Times New Roman" w:hAnsi="Times New Roman"/>
          <w:b/>
          <w:sz w:val="28"/>
          <w:szCs w:val="28"/>
        </w:rPr>
        <w:t>амбулаторно-поликлинических</w:t>
      </w:r>
      <w:r w:rsidR="003844C9" w:rsidRPr="003D7953">
        <w:rPr>
          <w:rFonts w:ascii="Times New Roman" w:hAnsi="Times New Roman"/>
          <w:sz w:val="28"/>
          <w:szCs w:val="28"/>
        </w:rPr>
        <w:t xml:space="preserve"> условиях</w:t>
      </w:r>
      <w:r w:rsidR="003844C9" w:rsidRPr="003D7953">
        <w:rPr>
          <w:rFonts w:ascii="Times New Roman" w:hAnsi="Times New Roman"/>
          <w:bCs/>
          <w:sz w:val="28"/>
          <w:szCs w:val="28"/>
        </w:rPr>
        <w:t xml:space="preserve"> </w:t>
      </w:r>
      <w:r w:rsidR="00352F13" w:rsidRPr="003D7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DC6B9A">
        <w:rPr>
          <w:rFonts w:ascii="Times New Roman" w:hAnsi="Times New Roman"/>
          <w:sz w:val="28"/>
          <w:szCs w:val="28"/>
        </w:rPr>
        <w:t xml:space="preserve"> </w:t>
      </w:r>
      <w:r w:rsidR="00352F13" w:rsidRPr="003D7953">
        <w:rPr>
          <w:rFonts w:ascii="Times New Roman" w:hAnsi="Times New Roman"/>
          <w:sz w:val="28"/>
          <w:szCs w:val="28"/>
        </w:rPr>
        <w:t>202</w:t>
      </w:r>
      <w:r w:rsidR="00AF5B76" w:rsidRPr="003D7953">
        <w:rPr>
          <w:rFonts w:ascii="Times New Roman" w:hAnsi="Times New Roman"/>
          <w:sz w:val="28"/>
          <w:szCs w:val="28"/>
        </w:rPr>
        <w:t>5</w:t>
      </w:r>
      <w:r w:rsidR="00352F13" w:rsidRPr="003D7953">
        <w:rPr>
          <w:rFonts w:ascii="Times New Roman" w:hAnsi="Times New Roman"/>
          <w:sz w:val="28"/>
          <w:szCs w:val="28"/>
        </w:rPr>
        <w:t xml:space="preserve"> года сложился в </w:t>
      </w:r>
      <w:r w:rsidR="003D7953" w:rsidRPr="003D7953">
        <w:rPr>
          <w:rFonts w:ascii="Times New Roman" w:hAnsi="Times New Roman"/>
          <w:color w:val="000000"/>
          <w:sz w:val="28"/>
          <w:szCs w:val="28"/>
        </w:rPr>
        <w:t>ОГАУЗ "</w:t>
      </w:r>
      <w:r w:rsidR="003D7953">
        <w:rPr>
          <w:rFonts w:ascii="Times New Roman" w:hAnsi="Times New Roman"/>
          <w:color w:val="000000"/>
          <w:sz w:val="28"/>
          <w:szCs w:val="28"/>
        </w:rPr>
        <w:t>С</w:t>
      </w:r>
      <w:r w:rsidR="008321BD">
        <w:rPr>
          <w:rFonts w:ascii="Times New Roman" w:hAnsi="Times New Roman"/>
          <w:color w:val="000000"/>
          <w:sz w:val="28"/>
          <w:szCs w:val="28"/>
        </w:rPr>
        <w:t>томатологическая поликлиника</w:t>
      </w:r>
      <w:r w:rsidR="003D7953">
        <w:rPr>
          <w:rFonts w:ascii="Times New Roman" w:hAnsi="Times New Roman"/>
          <w:color w:val="000000"/>
          <w:sz w:val="28"/>
          <w:szCs w:val="28"/>
        </w:rPr>
        <w:t xml:space="preserve"> г. Старый Оскол» и </w:t>
      </w:r>
      <w:r w:rsidR="003D7953" w:rsidRPr="00311F8B">
        <w:rPr>
          <w:rFonts w:ascii="Times New Roman" w:hAnsi="Times New Roman"/>
          <w:color w:val="000000"/>
          <w:sz w:val="28"/>
          <w:szCs w:val="28"/>
        </w:rPr>
        <w:t xml:space="preserve">составил </w:t>
      </w:r>
      <w:r w:rsidR="009D7F32" w:rsidRPr="00311F8B">
        <w:rPr>
          <w:rFonts w:ascii="Times New Roman" w:hAnsi="Times New Roman"/>
          <w:color w:val="000000"/>
          <w:sz w:val="28"/>
          <w:szCs w:val="28"/>
        </w:rPr>
        <w:t>8</w:t>
      </w:r>
      <w:r w:rsidR="008321BD" w:rsidRPr="00311F8B">
        <w:rPr>
          <w:rFonts w:ascii="Times New Roman" w:hAnsi="Times New Roman"/>
          <w:color w:val="000000"/>
          <w:sz w:val="28"/>
          <w:szCs w:val="28"/>
        </w:rPr>
        <w:t>4</w:t>
      </w:r>
      <w:r w:rsidR="003D7953" w:rsidRPr="00311F8B">
        <w:rPr>
          <w:rFonts w:ascii="Times New Roman" w:hAnsi="Times New Roman"/>
          <w:color w:val="000000"/>
          <w:sz w:val="28"/>
          <w:szCs w:val="28"/>
        </w:rPr>
        <w:t>%.</w:t>
      </w:r>
    </w:p>
    <w:p w:rsidR="00495DFD" w:rsidRPr="003D7953" w:rsidRDefault="003D7953" w:rsidP="00E124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1F8B">
        <w:rPr>
          <w:rFonts w:ascii="Times New Roman" w:hAnsi="Times New Roman"/>
          <w:sz w:val="28"/>
          <w:szCs w:val="28"/>
        </w:rPr>
        <w:t xml:space="preserve">     </w:t>
      </w:r>
      <w:r w:rsidR="00D30889" w:rsidRPr="00311F8B">
        <w:rPr>
          <w:rFonts w:ascii="Times New Roman" w:hAnsi="Times New Roman"/>
          <w:sz w:val="28"/>
          <w:szCs w:val="28"/>
        </w:rPr>
        <w:t>Также можно отметить медицинские организации</w:t>
      </w:r>
      <w:r w:rsidR="00E12495">
        <w:rPr>
          <w:rFonts w:ascii="Times New Roman" w:hAnsi="Times New Roman"/>
          <w:sz w:val="28"/>
          <w:szCs w:val="28"/>
        </w:rPr>
        <w:t>,</w:t>
      </w:r>
      <w:r w:rsidR="00D30889" w:rsidRPr="00311F8B">
        <w:rPr>
          <w:rFonts w:ascii="Times New Roman" w:hAnsi="Times New Roman"/>
          <w:sz w:val="28"/>
          <w:szCs w:val="28"/>
        </w:rPr>
        <w:t xml:space="preserve"> в которых сложился низкий уровень удовлетворенности</w:t>
      </w:r>
      <w:r w:rsidR="002E7CA9" w:rsidRPr="00311F8B">
        <w:rPr>
          <w:rFonts w:ascii="Times New Roman" w:hAnsi="Times New Roman"/>
          <w:sz w:val="28"/>
          <w:szCs w:val="28"/>
        </w:rPr>
        <w:t>,</w:t>
      </w:r>
      <w:r w:rsidR="00D30889" w:rsidRPr="00311F8B">
        <w:rPr>
          <w:rFonts w:ascii="Times New Roman" w:hAnsi="Times New Roman"/>
          <w:sz w:val="28"/>
          <w:szCs w:val="28"/>
        </w:rPr>
        <w:t xml:space="preserve"> когда пациент не удовлетворен </w:t>
      </w:r>
      <w:r w:rsidR="002E7CA9" w:rsidRPr="00311F8B">
        <w:rPr>
          <w:rFonts w:ascii="Times New Roman" w:hAnsi="Times New Roman"/>
          <w:sz w:val="28"/>
          <w:szCs w:val="28"/>
        </w:rPr>
        <w:t>по всем вопросам анкеты</w:t>
      </w:r>
      <w:r w:rsidR="00D30889" w:rsidRPr="00311F8B">
        <w:rPr>
          <w:rFonts w:ascii="Times New Roman" w:hAnsi="Times New Roman"/>
          <w:sz w:val="28"/>
          <w:szCs w:val="28"/>
        </w:rPr>
        <w:t>:</w:t>
      </w:r>
      <w:r w:rsidR="00B15885" w:rsidRPr="00311F8B">
        <w:rPr>
          <w:rFonts w:ascii="Times New Roman" w:hAnsi="Times New Roman"/>
          <w:sz w:val="28"/>
          <w:szCs w:val="28"/>
        </w:rPr>
        <w:t xml:space="preserve"> </w:t>
      </w:r>
      <w:r w:rsidR="00BE7DB7" w:rsidRPr="00311F8B">
        <w:rPr>
          <w:rFonts w:ascii="Times New Roman" w:hAnsi="Times New Roman"/>
          <w:color w:val="000000"/>
          <w:sz w:val="28"/>
          <w:szCs w:val="28"/>
        </w:rPr>
        <w:t>ОГАУЗ "</w:t>
      </w:r>
      <w:r w:rsidR="00140042" w:rsidRPr="00311F8B">
        <w:rPr>
          <w:rFonts w:ascii="Times New Roman" w:hAnsi="Times New Roman"/>
          <w:color w:val="000000"/>
          <w:sz w:val="28"/>
          <w:szCs w:val="28"/>
        </w:rPr>
        <w:t>Стоматологическая поликлиника</w:t>
      </w:r>
      <w:r w:rsidR="00BE7DB7" w:rsidRPr="00311F8B">
        <w:rPr>
          <w:rFonts w:ascii="Times New Roman" w:hAnsi="Times New Roman"/>
          <w:color w:val="000000"/>
          <w:sz w:val="28"/>
          <w:szCs w:val="28"/>
        </w:rPr>
        <w:t xml:space="preserve"> г. Старый Оскол»  </w:t>
      </w:r>
      <w:r w:rsidR="004E4A17" w:rsidRPr="00311F8B">
        <w:rPr>
          <w:rFonts w:ascii="Times New Roman" w:hAnsi="Times New Roman"/>
          <w:sz w:val="28"/>
          <w:szCs w:val="28"/>
        </w:rPr>
        <w:t>3</w:t>
      </w:r>
      <w:r w:rsidR="009D7F32" w:rsidRPr="00311F8B">
        <w:rPr>
          <w:rFonts w:ascii="Times New Roman" w:hAnsi="Times New Roman"/>
          <w:sz w:val="28"/>
          <w:szCs w:val="28"/>
        </w:rPr>
        <w:t xml:space="preserve"> человек</w:t>
      </w:r>
      <w:r w:rsidR="00E12495">
        <w:rPr>
          <w:rFonts w:ascii="Times New Roman" w:hAnsi="Times New Roman"/>
          <w:sz w:val="28"/>
          <w:szCs w:val="28"/>
        </w:rPr>
        <w:t>а</w:t>
      </w:r>
      <w:r w:rsidR="009D7F32" w:rsidRPr="00311F8B">
        <w:rPr>
          <w:rFonts w:ascii="Times New Roman" w:hAnsi="Times New Roman"/>
          <w:sz w:val="28"/>
          <w:szCs w:val="28"/>
        </w:rPr>
        <w:t xml:space="preserve"> </w:t>
      </w:r>
      <w:r w:rsidR="00BE7DB7" w:rsidRPr="00311F8B">
        <w:rPr>
          <w:rFonts w:ascii="Times New Roman" w:hAnsi="Times New Roman"/>
          <w:sz w:val="28"/>
          <w:szCs w:val="28"/>
        </w:rPr>
        <w:t xml:space="preserve"> из </w:t>
      </w:r>
      <w:r w:rsidR="00D50BA4" w:rsidRPr="00311F8B">
        <w:rPr>
          <w:rFonts w:ascii="Times New Roman" w:hAnsi="Times New Roman"/>
          <w:sz w:val="28"/>
          <w:szCs w:val="28"/>
        </w:rPr>
        <w:t>16</w:t>
      </w:r>
      <w:r w:rsidR="003B1A93" w:rsidRPr="00311F8B">
        <w:rPr>
          <w:rFonts w:ascii="Times New Roman" w:hAnsi="Times New Roman"/>
          <w:sz w:val="28"/>
          <w:szCs w:val="28"/>
        </w:rPr>
        <w:t xml:space="preserve"> </w:t>
      </w:r>
      <w:r w:rsidR="00BE7DB7" w:rsidRPr="00311F8B">
        <w:rPr>
          <w:rFonts w:ascii="Times New Roman" w:hAnsi="Times New Roman"/>
          <w:sz w:val="28"/>
          <w:szCs w:val="28"/>
        </w:rPr>
        <w:t xml:space="preserve">, </w:t>
      </w:r>
      <w:r w:rsidR="009D7F32" w:rsidRPr="004E4A17">
        <w:rPr>
          <w:rFonts w:ascii="Times New Roman" w:hAnsi="Times New Roman"/>
          <w:sz w:val="28"/>
          <w:szCs w:val="28"/>
        </w:rPr>
        <w:t xml:space="preserve">ОГБУЗ «Старооскольская окружная больница святителя Луки Крымского» </w:t>
      </w:r>
      <w:r w:rsidR="003B1A93" w:rsidRPr="004E4A17">
        <w:rPr>
          <w:rFonts w:ascii="Times New Roman" w:hAnsi="Times New Roman"/>
          <w:sz w:val="28"/>
          <w:szCs w:val="28"/>
        </w:rPr>
        <w:t>14</w:t>
      </w:r>
      <w:r w:rsidR="00F808A4" w:rsidRPr="004E4A17">
        <w:rPr>
          <w:rFonts w:ascii="Times New Roman" w:hAnsi="Times New Roman"/>
          <w:sz w:val="28"/>
          <w:szCs w:val="28"/>
        </w:rPr>
        <w:t xml:space="preserve"> </w:t>
      </w:r>
      <w:r w:rsidR="009D7F32" w:rsidRPr="004E4A17">
        <w:rPr>
          <w:rFonts w:ascii="Times New Roman" w:hAnsi="Times New Roman"/>
          <w:sz w:val="28"/>
          <w:szCs w:val="28"/>
        </w:rPr>
        <w:t xml:space="preserve">человек из </w:t>
      </w:r>
      <w:r w:rsidR="003B1A93" w:rsidRPr="004E4A17">
        <w:rPr>
          <w:rFonts w:ascii="Times New Roman" w:hAnsi="Times New Roman"/>
          <w:sz w:val="28"/>
          <w:szCs w:val="28"/>
        </w:rPr>
        <w:t>140</w:t>
      </w:r>
      <w:r w:rsidR="009D7F32" w:rsidRPr="004E4A17">
        <w:rPr>
          <w:rFonts w:ascii="Times New Roman" w:hAnsi="Times New Roman"/>
          <w:sz w:val="28"/>
          <w:szCs w:val="28"/>
        </w:rPr>
        <w:t xml:space="preserve">, ОГБУЗ "Шебекинская  ЦРБ" </w:t>
      </w:r>
      <w:r w:rsidR="003B1A93" w:rsidRPr="004E4A17">
        <w:rPr>
          <w:rFonts w:ascii="Times New Roman" w:hAnsi="Times New Roman"/>
          <w:sz w:val="28"/>
          <w:szCs w:val="28"/>
        </w:rPr>
        <w:t>3</w:t>
      </w:r>
      <w:r w:rsidR="009D7F32" w:rsidRPr="004E4A17">
        <w:rPr>
          <w:rFonts w:ascii="Times New Roman" w:hAnsi="Times New Roman"/>
          <w:sz w:val="28"/>
          <w:szCs w:val="28"/>
        </w:rPr>
        <w:t xml:space="preserve"> человек</w:t>
      </w:r>
      <w:r w:rsidR="003B1A93" w:rsidRPr="004E4A17">
        <w:rPr>
          <w:rFonts w:ascii="Times New Roman" w:hAnsi="Times New Roman"/>
          <w:sz w:val="28"/>
          <w:szCs w:val="28"/>
        </w:rPr>
        <w:t>а</w:t>
      </w:r>
      <w:r w:rsidR="009D7F32" w:rsidRPr="004E4A17">
        <w:rPr>
          <w:rFonts w:ascii="Times New Roman" w:hAnsi="Times New Roman"/>
          <w:sz w:val="28"/>
          <w:szCs w:val="28"/>
        </w:rPr>
        <w:t xml:space="preserve"> из </w:t>
      </w:r>
      <w:r w:rsidR="003B1A93" w:rsidRPr="004E4A17">
        <w:rPr>
          <w:rFonts w:ascii="Times New Roman" w:hAnsi="Times New Roman"/>
          <w:sz w:val="28"/>
          <w:szCs w:val="28"/>
        </w:rPr>
        <w:t>32</w:t>
      </w:r>
      <w:r w:rsidR="003B1A93" w:rsidRPr="00AC2064">
        <w:rPr>
          <w:rFonts w:ascii="Times New Roman" w:hAnsi="Times New Roman"/>
          <w:sz w:val="28"/>
          <w:szCs w:val="28"/>
        </w:rPr>
        <w:t>,</w:t>
      </w:r>
      <w:r w:rsidR="00E12495">
        <w:rPr>
          <w:rFonts w:ascii="Times New Roman" w:hAnsi="Times New Roman"/>
          <w:sz w:val="28"/>
          <w:szCs w:val="28"/>
        </w:rPr>
        <w:t xml:space="preserve"> </w:t>
      </w:r>
      <w:r w:rsidR="00B15885" w:rsidRPr="004E4A17">
        <w:rPr>
          <w:rFonts w:ascii="Times New Roman" w:hAnsi="Times New Roman"/>
          <w:sz w:val="28"/>
          <w:szCs w:val="28"/>
        </w:rPr>
        <w:t>ОГБУЗ «</w:t>
      </w:r>
      <w:r w:rsidRPr="004E4A17">
        <w:rPr>
          <w:rFonts w:ascii="Times New Roman" w:hAnsi="Times New Roman"/>
          <w:sz w:val="28"/>
          <w:szCs w:val="28"/>
        </w:rPr>
        <w:t>Вейделевская ЦРБ</w:t>
      </w:r>
      <w:r w:rsidR="00B15885" w:rsidRPr="004E4A17">
        <w:rPr>
          <w:rFonts w:ascii="Times New Roman" w:hAnsi="Times New Roman"/>
          <w:sz w:val="28"/>
          <w:szCs w:val="28"/>
        </w:rPr>
        <w:t xml:space="preserve">» </w:t>
      </w:r>
      <w:r w:rsidR="003B1A93" w:rsidRPr="004E4A17">
        <w:rPr>
          <w:rFonts w:ascii="Times New Roman" w:hAnsi="Times New Roman"/>
          <w:sz w:val="28"/>
          <w:szCs w:val="28"/>
        </w:rPr>
        <w:t>2</w:t>
      </w:r>
      <w:r w:rsidR="00B15885" w:rsidRPr="004E4A17">
        <w:rPr>
          <w:rFonts w:ascii="Times New Roman" w:hAnsi="Times New Roman"/>
          <w:sz w:val="28"/>
          <w:szCs w:val="28"/>
        </w:rPr>
        <w:t xml:space="preserve"> человека из </w:t>
      </w:r>
      <w:r w:rsidR="003B1A93" w:rsidRPr="004E4A17">
        <w:rPr>
          <w:rFonts w:ascii="Times New Roman" w:hAnsi="Times New Roman"/>
          <w:sz w:val="28"/>
          <w:szCs w:val="28"/>
        </w:rPr>
        <w:t>28</w:t>
      </w:r>
      <w:r w:rsidR="00B15885" w:rsidRPr="004E4A17">
        <w:rPr>
          <w:rFonts w:ascii="Times New Roman" w:hAnsi="Times New Roman"/>
          <w:sz w:val="28"/>
          <w:szCs w:val="28"/>
        </w:rPr>
        <w:t>,</w:t>
      </w:r>
      <w:r w:rsidRPr="004E4A17">
        <w:rPr>
          <w:rFonts w:ascii="Times New Roman" w:hAnsi="Times New Roman"/>
          <w:sz w:val="28"/>
          <w:szCs w:val="28"/>
        </w:rPr>
        <w:t xml:space="preserve"> ОГБУЗ «Городская поликлиника  г. Белгорода» </w:t>
      </w:r>
      <w:r w:rsidR="00BE7DB7" w:rsidRPr="004E4A17">
        <w:rPr>
          <w:rFonts w:ascii="Times New Roman" w:hAnsi="Times New Roman"/>
          <w:sz w:val="28"/>
          <w:szCs w:val="28"/>
        </w:rPr>
        <w:t xml:space="preserve"> </w:t>
      </w:r>
      <w:r w:rsidR="003B1A93" w:rsidRPr="004E4A17">
        <w:rPr>
          <w:rFonts w:ascii="Times New Roman" w:hAnsi="Times New Roman"/>
          <w:sz w:val="28"/>
          <w:szCs w:val="28"/>
        </w:rPr>
        <w:t>6</w:t>
      </w:r>
      <w:r w:rsidRPr="004E4A17">
        <w:rPr>
          <w:rFonts w:ascii="Times New Roman" w:hAnsi="Times New Roman"/>
          <w:sz w:val="28"/>
          <w:szCs w:val="28"/>
        </w:rPr>
        <w:t xml:space="preserve"> человек из </w:t>
      </w:r>
      <w:r w:rsidR="003B1A93" w:rsidRPr="004E4A17">
        <w:rPr>
          <w:rFonts w:ascii="Times New Roman" w:hAnsi="Times New Roman"/>
          <w:sz w:val="28"/>
          <w:szCs w:val="28"/>
        </w:rPr>
        <w:t>96</w:t>
      </w:r>
      <w:r w:rsidRPr="00311F8B">
        <w:rPr>
          <w:rFonts w:ascii="Times New Roman" w:hAnsi="Times New Roman"/>
          <w:sz w:val="28"/>
          <w:szCs w:val="28"/>
        </w:rPr>
        <w:t>.</w:t>
      </w:r>
      <w:r w:rsidR="000A0115" w:rsidRPr="00311F8B">
        <w:rPr>
          <w:rFonts w:ascii="Times New Roman" w:hAnsi="Times New Roman"/>
          <w:sz w:val="28"/>
          <w:szCs w:val="28"/>
        </w:rPr>
        <w:t>(</w:t>
      </w:r>
      <w:r w:rsidR="0067503A" w:rsidRPr="00311F8B">
        <w:rPr>
          <w:rFonts w:ascii="Times New Roman" w:hAnsi="Times New Roman"/>
          <w:sz w:val="28"/>
          <w:szCs w:val="28"/>
        </w:rPr>
        <w:t>Рис. 2</w:t>
      </w:r>
      <w:r w:rsidR="00E12704" w:rsidRPr="00311F8B">
        <w:rPr>
          <w:rFonts w:ascii="Times New Roman" w:hAnsi="Times New Roman"/>
          <w:sz w:val="28"/>
          <w:szCs w:val="28"/>
        </w:rPr>
        <w:t>)</w:t>
      </w:r>
      <w:r w:rsidR="00B6656D" w:rsidRPr="00311F8B">
        <w:rPr>
          <w:rFonts w:ascii="Times New Roman" w:hAnsi="Times New Roman"/>
          <w:sz w:val="28"/>
          <w:szCs w:val="28"/>
        </w:rPr>
        <w:t>.</w:t>
      </w:r>
    </w:p>
    <w:p w:rsidR="00E12704" w:rsidRPr="003D7953" w:rsidRDefault="00E12704" w:rsidP="00192B86">
      <w:pPr>
        <w:pStyle w:val="a4"/>
        <w:spacing w:line="240" w:lineRule="auto"/>
        <w:jc w:val="center"/>
        <w:rPr>
          <w:szCs w:val="28"/>
          <w:highlight w:val="yellow"/>
        </w:rPr>
      </w:pPr>
    </w:p>
    <w:p w:rsidR="00B2661E" w:rsidRPr="003D7953" w:rsidRDefault="00B2661E" w:rsidP="00192B86">
      <w:pPr>
        <w:pStyle w:val="a4"/>
        <w:spacing w:line="240" w:lineRule="auto"/>
        <w:jc w:val="center"/>
        <w:rPr>
          <w:szCs w:val="28"/>
        </w:rPr>
      </w:pPr>
    </w:p>
    <w:p w:rsidR="00ED4C89" w:rsidRPr="003D7953" w:rsidRDefault="00ED4C89" w:rsidP="00192B86">
      <w:pPr>
        <w:pStyle w:val="a4"/>
        <w:spacing w:line="240" w:lineRule="auto"/>
        <w:jc w:val="center"/>
        <w:rPr>
          <w:szCs w:val="28"/>
        </w:rPr>
      </w:pPr>
    </w:p>
    <w:p w:rsidR="00ED4C89" w:rsidRPr="003D7953" w:rsidRDefault="00ED4C89" w:rsidP="00192B86">
      <w:pPr>
        <w:pStyle w:val="a4"/>
        <w:spacing w:line="240" w:lineRule="auto"/>
        <w:jc w:val="center"/>
        <w:rPr>
          <w:szCs w:val="28"/>
        </w:rPr>
      </w:pPr>
    </w:p>
    <w:p w:rsidR="00301C6F" w:rsidRDefault="00301C6F" w:rsidP="00CB58D2">
      <w:pPr>
        <w:pStyle w:val="a4"/>
        <w:spacing w:line="240" w:lineRule="auto"/>
        <w:ind w:firstLine="4680"/>
        <w:sectPr w:rsidR="00301C6F" w:rsidSect="0067503A">
          <w:pgSz w:w="11906" w:h="16838"/>
          <w:pgMar w:top="851" w:right="850" w:bottom="540" w:left="1701" w:header="708" w:footer="708" w:gutter="0"/>
          <w:cols w:space="708"/>
          <w:docGrid w:linePitch="360"/>
        </w:sectPr>
      </w:pPr>
    </w:p>
    <w:p w:rsidR="0067503A" w:rsidRDefault="0067503A" w:rsidP="0067503A">
      <w:pPr>
        <w:pStyle w:val="a4"/>
        <w:spacing w:line="240" w:lineRule="auto"/>
        <w:ind w:firstLine="360"/>
        <w:jc w:val="right"/>
      </w:pPr>
      <w:r>
        <w:lastRenderedPageBreak/>
        <w:t>Рисунок 1</w:t>
      </w:r>
    </w:p>
    <w:p w:rsidR="0067503A" w:rsidRDefault="0067503A" w:rsidP="00301C6F">
      <w:pPr>
        <w:pStyle w:val="a4"/>
        <w:spacing w:line="240" w:lineRule="auto"/>
        <w:ind w:firstLine="360"/>
      </w:pPr>
    </w:p>
    <w:p w:rsidR="0067503A" w:rsidRDefault="0067503A" w:rsidP="00301C6F">
      <w:pPr>
        <w:pStyle w:val="a4"/>
        <w:spacing w:line="240" w:lineRule="auto"/>
        <w:ind w:firstLine="360"/>
      </w:pPr>
    </w:p>
    <w:p w:rsidR="00301C6F" w:rsidRDefault="00301C6F" w:rsidP="00301C6F">
      <w:pPr>
        <w:pStyle w:val="a4"/>
        <w:spacing w:line="240" w:lineRule="auto"/>
        <w:ind w:firstLine="360"/>
      </w:pPr>
    </w:p>
    <w:p w:rsidR="0067503A" w:rsidRDefault="001007E3" w:rsidP="00301C6F">
      <w:pPr>
        <w:pStyle w:val="a4"/>
        <w:spacing w:line="240" w:lineRule="auto"/>
        <w:ind w:firstLine="360"/>
      </w:pPr>
      <w:r w:rsidRPr="001007E3">
        <w:rPr>
          <w:noProof/>
        </w:rPr>
        <w:drawing>
          <wp:inline distT="0" distB="0" distL="0" distR="0">
            <wp:extent cx="9572625" cy="5476875"/>
            <wp:effectExtent l="19050" t="0" r="952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1C6F" w:rsidRPr="00D30889" w:rsidRDefault="00301C6F" w:rsidP="00301C6F">
      <w:pPr>
        <w:pStyle w:val="a4"/>
        <w:spacing w:line="240" w:lineRule="auto"/>
        <w:ind w:left="540"/>
        <w:sectPr w:rsidR="00301C6F" w:rsidRPr="00D30889" w:rsidSect="0067503A">
          <w:pgSz w:w="16838" w:h="11906" w:orient="landscape"/>
          <w:pgMar w:top="142" w:right="1134" w:bottom="540" w:left="539" w:header="709" w:footer="709" w:gutter="0"/>
          <w:cols w:space="708"/>
          <w:docGrid w:linePitch="360"/>
        </w:sectPr>
      </w:pPr>
    </w:p>
    <w:p w:rsidR="00B6656D" w:rsidRDefault="006D0AA5" w:rsidP="006D0AA5">
      <w:pPr>
        <w:pStyle w:val="a4"/>
        <w:jc w:val="right"/>
      </w:pPr>
      <w:r>
        <w:lastRenderedPageBreak/>
        <w:t>Рисунок 2</w:t>
      </w:r>
    </w:p>
    <w:p w:rsidR="006D0AA5" w:rsidRDefault="006D0AA5" w:rsidP="006D0AA5">
      <w:pPr>
        <w:pStyle w:val="a4"/>
        <w:jc w:val="right"/>
      </w:pPr>
    </w:p>
    <w:p w:rsidR="006D0AA5" w:rsidRDefault="006D0AA5" w:rsidP="006D0AA5">
      <w:pPr>
        <w:pStyle w:val="a4"/>
        <w:jc w:val="right"/>
      </w:pPr>
    </w:p>
    <w:p w:rsidR="000B6033" w:rsidRDefault="00793451" w:rsidP="00685AAC">
      <w:pPr>
        <w:pStyle w:val="a4"/>
      </w:pPr>
      <w:r w:rsidRPr="00793451">
        <w:rPr>
          <w:noProof/>
        </w:rPr>
        <w:drawing>
          <wp:inline distT="0" distB="0" distL="0" distR="0">
            <wp:extent cx="9915525" cy="5619750"/>
            <wp:effectExtent l="19050" t="0" r="9525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6DBE" w:rsidRDefault="007A6DBE" w:rsidP="000B6033">
      <w:pPr>
        <w:spacing w:after="0" w:line="240" w:lineRule="auto"/>
      </w:pPr>
    </w:p>
    <w:p w:rsidR="007A6DBE" w:rsidRDefault="008A7B08">
      <w:pPr>
        <w:spacing w:after="0" w:line="240" w:lineRule="auto"/>
      </w:pPr>
      <w:r w:rsidRPr="008A7B08">
        <w:rPr>
          <w:noProof/>
        </w:rPr>
        <w:drawing>
          <wp:inline distT="0" distB="0" distL="0" distR="0">
            <wp:extent cx="10020300" cy="61531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A6DBE">
        <w:br w:type="page"/>
      </w:r>
    </w:p>
    <w:p w:rsidR="00DF74EC" w:rsidRPr="00D30889" w:rsidRDefault="009A3083" w:rsidP="000B6033">
      <w:pPr>
        <w:spacing w:after="0" w:line="240" w:lineRule="auto"/>
      </w:pPr>
      <w:r w:rsidRPr="009A3083">
        <w:rPr>
          <w:noProof/>
        </w:rPr>
        <w:lastRenderedPageBreak/>
        <w:drawing>
          <wp:inline distT="0" distB="0" distL="0" distR="0">
            <wp:extent cx="9972675" cy="6477000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DF74EC" w:rsidRPr="00D30889" w:rsidSect="006D0AA5">
      <w:pgSz w:w="16838" w:h="11906" w:orient="landscape"/>
      <w:pgMar w:top="426" w:right="1134" w:bottom="85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CC2" w:rsidRDefault="00381CC2" w:rsidP="0067503A">
      <w:pPr>
        <w:spacing w:after="0" w:line="240" w:lineRule="auto"/>
      </w:pPr>
      <w:r>
        <w:separator/>
      </w:r>
    </w:p>
  </w:endnote>
  <w:endnote w:type="continuationSeparator" w:id="1">
    <w:p w:rsidR="00381CC2" w:rsidRDefault="00381CC2" w:rsidP="0067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CC2" w:rsidRDefault="00381CC2" w:rsidP="0067503A">
      <w:pPr>
        <w:spacing w:after="0" w:line="240" w:lineRule="auto"/>
      </w:pPr>
      <w:r>
        <w:separator/>
      </w:r>
    </w:p>
  </w:footnote>
  <w:footnote w:type="continuationSeparator" w:id="1">
    <w:p w:rsidR="00381CC2" w:rsidRDefault="00381CC2" w:rsidP="00675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58A"/>
    <w:rsid w:val="000330F3"/>
    <w:rsid w:val="00041B46"/>
    <w:rsid w:val="0004275C"/>
    <w:rsid w:val="00045F83"/>
    <w:rsid w:val="00065C72"/>
    <w:rsid w:val="00071144"/>
    <w:rsid w:val="000716FD"/>
    <w:rsid w:val="00072887"/>
    <w:rsid w:val="000824E2"/>
    <w:rsid w:val="000831CE"/>
    <w:rsid w:val="00095F7B"/>
    <w:rsid w:val="000A0115"/>
    <w:rsid w:val="000A376D"/>
    <w:rsid w:val="000B6033"/>
    <w:rsid w:val="000F51C9"/>
    <w:rsid w:val="001007E3"/>
    <w:rsid w:val="00107222"/>
    <w:rsid w:val="00123BC6"/>
    <w:rsid w:val="00130D2B"/>
    <w:rsid w:val="00131B47"/>
    <w:rsid w:val="00140042"/>
    <w:rsid w:val="001674D6"/>
    <w:rsid w:val="00167E65"/>
    <w:rsid w:val="00171183"/>
    <w:rsid w:val="00192B86"/>
    <w:rsid w:val="001A700E"/>
    <w:rsid w:val="001D1073"/>
    <w:rsid w:val="001F0BAA"/>
    <w:rsid w:val="002009C8"/>
    <w:rsid w:val="0021365B"/>
    <w:rsid w:val="00230FEA"/>
    <w:rsid w:val="0023442D"/>
    <w:rsid w:val="0023503D"/>
    <w:rsid w:val="00245B15"/>
    <w:rsid w:val="002502A1"/>
    <w:rsid w:val="0028460B"/>
    <w:rsid w:val="002A65A6"/>
    <w:rsid w:val="002A65F6"/>
    <w:rsid w:val="002C353E"/>
    <w:rsid w:val="002D6AD6"/>
    <w:rsid w:val="002E74A8"/>
    <w:rsid w:val="002E7CA9"/>
    <w:rsid w:val="00301C6F"/>
    <w:rsid w:val="00311D17"/>
    <w:rsid w:val="00311F8B"/>
    <w:rsid w:val="00325043"/>
    <w:rsid w:val="00325571"/>
    <w:rsid w:val="0033718C"/>
    <w:rsid w:val="00343B24"/>
    <w:rsid w:val="00345390"/>
    <w:rsid w:val="00352F13"/>
    <w:rsid w:val="00357F65"/>
    <w:rsid w:val="00371337"/>
    <w:rsid w:val="003819DD"/>
    <w:rsid w:val="00381CC2"/>
    <w:rsid w:val="003844C9"/>
    <w:rsid w:val="003950A7"/>
    <w:rsid w:val="00396FDA"/>
    <w:rsid w:val="003A5F2E"/>
    <w:rsid w:val="003A66F2"/>
    <w:rsid w:val="003B1A93"/>
    <w:rsid w:val="003D127E"/>
    <w:rsid w:val="003D2891"/>
    <w:rsid w:val="003D6032"/>
    <w:rsid w:val="003D7953"/>
    <w:rsid w:val="003E318B"/>
    <w:rsid w:val="003F1BE1"/>
    <w:rsid w:val="003F4887"/>
    <w:rsid w:val="003F5C23"/>
    <w:rsid w:val="00403B6A"/>
    <w:rsid w:val="00417159"/>
    <w:rsid w:val="004224D6"/>
    <w:rsid w:val="004226CB"/>
    <w:rsid w:val="00423FC8"/>
    <w:rsid w:val="0042672E"/>
    <w:rsid w:val="0044722B"/>
    <w:rsid w:val="0044792C"/>
    <w:rsid w:val="00451C67"/>
    <w:rsid w:val="004603C1"/>
    <w:rsid w:val="00461BFD"/>
    <w:rsid w:val="004906FB"/>
    <w:rsid w:val="00495DFD"/>
    <w:rsid w:val="004A6E2A"/>
    <w:rsid w:val="004B4030"/>
    <w:rsid w:val="004C0377"/>
    <w:rsid w:val="004C78A2"/>
    <w:rsid w:val="004C7E39"/>
    <w:rsid w:val="004D405D"/>
    <w:rsid w:val="004E05AE"/>
    <w:rsid w:val="004E1576"/>
    <w:rsid w:val="004E4A17"/>
    <w:rsid w:val="004E509E"/>
    <w:rsid w:val="005040DB"/>
    <w:rsid w:val="00531152"/>
    <w:rsid w:val="00555720"/>
    <w:rsid w:val="00555E77"/>
    <w:rsid w:val="005729B8"/>
    <w:rsid w:val="005872D9"/>
    <w:rsid w:val="005A499A"/>
    <w:rsid w:val="005B7F69"/>
    <w:rsid w:val="005C4DD9"/>
    <w:rsid w:val="005C57C0"/>
    <w:rsid w:val="005D23B9"/>
    <w:rsid w:val="005D4AD0"/>
    <w:rsid w:val="005E2E29"/>
    <w:rsid w:val="00600C99"/>
    <w:rsid w:val="00605314"/>
    <w:rsid w:val="0062341D"/>
    <w:rsid w:val="006313BA"/>
    <w:rsid w:val="00635594"/>
    <w:rsid w:val="00644109"/>
    <w:rsid w:val="00655D36"/>
    <w:rsid w:val="00671867"/>
    <w:rsid w:val="0067503A"/>
    <w:rsid w:val="00685AAC"/>
    <w:rsid w:val="006953ED"/>
    <w:rsid w:val="00695474"/>
    <w:rsid w:val="006A450F"/>
    <w:rsid w:val="006C33B5"/>
    <w:rsid w:val="006D0AA5"/>
    <w:rsid w:val="006D284A"/>
    <w:rsid w:val="006D31A2"/>
    <w:rsid w:val="006D59DB"/>
    <w:rsid w:val="006D5C69"/>
    <w:rsid w:val="00701BFD"/>
    <w:rsid w:val="00710665"/>
    <w:rsid w:val="00732643"/>
    <w:rsid w:val="00750089"/>
    <w:rsid w:val="00755C75"/>
    <w:rsid w:val="00767BA1"/>
    <w:rsid w:val="007769AE"/>
    <w:rsid w:val="007877AB"/>
    <w:rsid w:val="00793451"/>
    <w:rsid w:val="007A64E1"/>
    <w:rsid w:val="007A6DBE"/>
    <w:rsid w:val="007B5312"/>
    <w:rsid w:val="007B7644"/>
    <w:rsid w:val="007E151D"/>
    <w:rsid w:val="007F2967"/>
    <w:rsid w:val="007F3F70"/>
    <w:rsid w:val="0081221B"/>
    <w:rsid w:val="008146C6"/>
    <w:rsid w:val="00816F47"/>
    <w:rsid w:val="008270FA"/>
    <w:rsid w:val="008321BD"/>
    <w:rsid w:val="00842B82"/>
    <w:rsid w:val="008548C3"/>
    <w:rsid w:val="00857275"/>
    <w:rsid w:val="008A658A"/>
    <w:rsid w:val="008A7B08"/>
    <w:rsid w:val="008B5F72"/>
    <w:rsid w:val="008D42A4"/>
    <w:rsid w:val="008F6046"/>
    <w:rsid w:val="00904E45"/>
    <w:rsid w:val="0090689D"/>
    <w:rsid w:val="00907696"/>
    <w:rsid w:val="00912F46"/>
    <w:rsid w:val="00932391"/>
    <w:rsid w:val="00934AE5"/>
    <w:rsid w:val="00936176"/>
    <w:rsid w:val="009369DF"/>
    <w:rsid w:val="00941070"/>
    <w:rsid w:val="009513A9"/>
    <w:rsid w:val="009566F7"/>
    <w:rsid w:val="00957B4D"/>
    <w:rsid w:val="0096152A"/>
    <w:rsid w:val="009625EF"/>
    <w:rsid w:val="009804AF"/>
    <w:rsid w:val="00981A23"/>
    <w:rsid w:val="00993445"/>
    <w:rsid w:val="009A3083"/>
    <w:rsid w:val="009C1226"/>
    <w:rsid w:val="009C366F"/>
    <w:rsid w:val="009D7F32"/>
    <w:rsid w:val="009E25BF"/>
    <w:rsid w:val="00A015E0"/>
    <w:rsid w:val="00A227EC"/>
    <w:rsid w:val="00A3262E"/>
    <w:rsid w:val="00A508B5"/>
    <w:rsid w:val="00A52800"/>
    <w:rsid w:val="00A53984"/>
    <w:rsid w:val="00A628C5"/>
    <w:rsid w:val="00A7523C"/>
    <w:rsid w:val="00A81880"/>
    <w:rsid w:val="00A9312D"/>
    <w:rsid w:val="00A95CD7"/>
    <w:rsid w:val="00AB2E0D"/>
    <w:rsid w:val="00AB63E4"/>
    <w:rsid w:val="00AC0AA1"/>
    <w:rsid w:val="00AC2064"/>
    <w:rsid w:val="00AD32F5"/>
    <w:rsid w:val="00AD4BE6"/>
    <w:rsid w:val="00AE2AA6"/>
    <w:rsid w:val="00AF3978"/>
    <w:rsid w:val="00AF5B76"/>
    <w:rsid w:val="00B15885"/>
    <w:rsid w:val="00B2661E"/>
    <w:rsid w:val="00B332C9"/>
    <w:rsid w:val="00B355BF"/>
    <w:rsid w:val="00B5093F"/>
    <w:rsid w:val="00B64F7C"/>
    <w:rsid w:val="00B6656D"/>
    <w:rsid w:val="00B75554"/>
    <w:rsid w:val="00B9074D"/>
    <w:rsid w:val="00BA43F0"/>
    <w:rsid w:val="00BA4E49"/>
    <w:rsid w:val="00BA5F8E"/>
    <w:rsid w:val="00BA6A01"/>
    <w:rsid w:val="00BB071E"/>
    <w:rsid w:val="00BD32B5"/>
    <w:rsid w:val="00BE7DB7"/>
    <w:rsid w:val="00BF1AFA"/>
    <w:rsid w:val="00BF269C"/>
    <w:rsid w:val="00C01A49"/>
    <w:rsid w:val="00C11220"/>
    <w:rsid w:val="00C2514F"/>
    <w:rsid w:val="00C25823"/>
    <w:rsid w:val="00C317F7"/>
    <w:rsid w:val="00C325DD"/>
    <w:rsid w:val="00C40790"/>
    <w:rsid w:val="00C42B8E"/>
    <w:rsid w:val="00C432BA"/>
    <w:rsid w:val="00C66BB0"/>
    <w:rsid w:val="00C95CFC"/>
    <w:rsid w:val="00CB58D2"/>
    <w:rsid w:val="00CD7BEC"/>
    <w:rsid w:val="00CE7C0E"/>
    <w:rsid w:val="00CF26C7"/>
    <w:rsid w:val="00D0636A"/>
    <w:rsid w:val="00D06679"/>
    <w:rsid w:val="00D2129A"/>
    <w:rsid w:val="00D21F08"/>
    <w:rsid w:val="00D30889"/>
    <w:rsid w:val="00D35574"/>
    <w:rsid w:val="00D42E71"/>
    <w:rsid w:val="00D46D5A"/>
    <w:rsid w:val="00D50BA4"/>
    <w:rsid w:val="00D66741"/>
    <w:rsid w:val="00D66D0B"/>
    <w:rsid w:val="00D73538"/>
    <w:rsid w:val="00D850ED"/>
    <w:rsid w:val="00DA02D2"/>
    <w:rsid w:val="00DA7E15"/>
    <w:rsid w:val="00DC6B9A"/>
    <w:rsid w:val="00DC76D6"/>
    <w:rsid w:val="00DC7A6D"/>
    <w:rsid w:val="00DD050F"/>
    <w:rsid w:val="00DD303A"/>
    <w:rsid w:val="00DE27F4"/>
    <w:rsid w:val="00DF23A9"/>
    <w:rsid w:val="00DF74EC"/>
    <w:rsid w:val="00E108C0"/>
    <w:rsid w:val="00E12495"/>
    <w:rsid w:val="00E12704"/>
    <w:rsid w:val="00E1501F"/>
    <w:rsid w:val="00E232B8"/>
    <w:rsid w:val="00E37EF6"/>
    <w:rsid w:val="00E41009"/>
    <w:rsid w:val="00E52972"/>
    <w:rsid w:val="00E56042"/>
    <w:rsid w:val="00E57A1A"/>
    <w:rsid w:val="00E677B1"/>
    <w:rsid w:val="00E81775"/>
    <w:rsid w:val="00E86343"/>
    <w:rsid w:val="00EA4342"/>
    <w:rsid w:val="00EA4F48"/>
    <w:rsid w:val="00EB7A21"/>
    <w:rsid w:val="00EC3EDF"/>
    <w:rsid w:val="00ED09D3"/>
    <w:rsid w:val="00ED4679"/>
    <w:rsid w:val="00ED4C89"/>
    <w:rsid w:val="00ED78ED"/>
    <w:rsid w:val="00EE4B9E"/>
    <w:rsid w:val="00EF2692"/>
    <w:rsid w:val="00F006B2"/>
    <w:rsid w:val="00F06C0D"/>
    <w:rsid w:val="00F14695"/>
    <w:rsid w:val="00F15511"/>
    <w:rsid w:val="00F22496"/>
    <w:rsid w:val="00F2336B"/>
    <w:rsid w:val="00F25034"/>
    <w:rsid w:val="00F27E03"/>
    <w:rsid w:val="00F41BCE"/>
    <w:rsid w:val="00F452D9"/>
    <w:rsid w:val="00F50AFF"/>
    <w:rsid w:val="00F525A5"/>
    <w:rsid w:val="00F56780"/>
    <w:rsid w:val="00F611ED"/>
    <w:rsid w:val="00F808A4"/>
    <w:rsid w:val="00F96642"/>
    <w:rsid w:val="00F96883"/>
    <w:rsid w:val="00FA38AB"/>
    <w:rsid w:val="00FA6AF7"/>
    <w:rsid w:val="00FE1865"/>
    <w:rsid w:val="00FE5AC6"/>
    <w:rsid w:val="00FF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58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8A658A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8A658A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a5">
    <w:name w:val="Plain Text"/>
    <w:basedOn w:val="a"/>
    <w:rsid w:val="008A658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rsid w:val="008A65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B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B071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7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67503A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67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67503A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oms_8\Desktop\76%20&#1053;&#1086;&#1088;&#1084;&#1072;\&#1076;&#1080;&#1072;&#1075;&#1088;&#1072;&#1084;&#1084;&#1072;%201%20&#1075;&#1086;&#1076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oms_8\Desktop\&#1076;&#1080;&#1072;&#1075;&#1088;&#1072;&#1084;&#1084;&#1072;%201%20&#1075;&#1086;&#1076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oms_8\Desktop\76%20&#1053;&#1086;&#1088;&#1084;&#1072;\&#1076;&#1080;&#1072;&#1075;&#1088;&#1072;&#1084;&#1084;&#1072;%201%20&#1075;&#1086;&#1076;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ooms_8\Desktop\&#1076;&#1080;&#1072;&#1075;&#1088;&#1072;&#1084;&#1084;&#1072;%201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7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Доля уровня удовлетворенности застрахованных в стационарных условиях (январь - декабрь 2025 г.), %</a:t>
            </a:r>
          </a:p>
        </c:rich>
      </c:tx>
      <c:layout>
        <c:manualLayout>
          <c:xMode val="edge"/>
          <c:yMode val="edge"/>
          <c:x val="0.11468823439323611"/>
          <c:y val="3.630363036303637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7203229877955398"/>
          <c:y val="0.20297064352104521"/>
          <c:w val="0.81790784644775261"/>
          <c:h val="0.34818537957885443"/>
        </c:manualLayout>
      </c:layout>
      <c:barChart>
        <c:barDir val="col"/>
        <c:grouping val="clustered"/>
        <c:ser>
          <c:idx val="1"/>
          <c:order val="0"/>
          <c:dLbls>
            <c:delete val="1"/>
          </c:dLbls>
          <c:cat>
            <c:multiLvlStrRef>
              <c:f>'стац 1 полуг.25'!#ССЫЛКА!</c:f>
            </c:multiLvlStrRef>
          </c:cat>
          <c:val>
            <c:numRef>
              <c:f>'стац 1 полуг.25'!#ССЫЛКА!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1"/>
          <c:dLbls>
            <c:delete val="1"/>
          </c:dLbls>
          <c:cat>
            <c:multiLvlStrRef>
              <c:f>'стац 1 полуг.25'!#ССЫЛКА!</c:f>
            </c:multiLvlStrRef>
          </c:cat>
          <c:val>
            <c:numRef>
              <c:f>'стац 1 полуг.25'!#ССЫЛКА!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2"/>
          <c:dLbls>
            <c:delete val="1"/>
          </c:dLbls>
          <c:cat>
            <c:multiLvlStrRef>
              <c:f>'стац 1 полуг.25'!#ССЫЛКА!</c:f>
            </c:multiLvlStrRef>
          </c:cat>
          <c:val>
            <c:numRef>
              <c:f>'стац 1 полуг.25'!#ССЫЛКА!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3"/>
          <c:dLbls>
            <c:delete val="1"/>
          </c:dLbls>
          <c:cat>
            <c:multiLvlStrRef>
              <c:f>'стац 1 полуг.25'!#ССЫЛКА!</c:f>
            </c:multiLvlStrRef>
          </c:cat>
          <c:val>
            <c:numRef>
              <c:f>'стац 1 полуг.25'!#ССЫЛКА!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4"/>
          <c:dLbls>
            <c:delete val="1"/>
          </c:dLbls>
          <c:cat>
            <c:multiLvlStrRef>
              <c:f>'стац 1 полуг.25'!#ССЫЛКА!</c:f>
            </c:multiLvlStrRef>
          </c:cat>
          <c:val>
            <c:numRef>
              <c:f>'стац 1 полуг.25'!#ССЫЛКА!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5"/>
          <c:dLbls>
            <c:delete val="1"/>
          </c:dLbls>
          <c:cat>
            <c:multiLvlStrRef>
              <c:f>'стац 1 полуг.25'!#ССЫЛКА!</c:f>
            </c:multiLvlStrRef>
          </c:cat>
          <c:val>
            <c:numRef>
              <c:f>'стац 1 полуг.25'!#ССЫЛКА!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0"/>
          <c:order val="6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'стац 1 полуг.25'!$C$9:$C$19</c:f>
              <c:strCache>
                <c:ptCount val="11"/>
                <c:pt idx="0">
                  <c:v>ОГБУЗ "ЯКОВЛЕВСКАЯ ЦРБ"</c:v>
                </c:pt>
                <c:pt idx="1">
                  <c:v>ОГБУЗ "СТАР-Я ОКР. БОЛ. СВЯТИТЕЛЯ ЛУКИ КРЫМСКОГО"</c:v>
                </c:pt>
                <c:pt idx="2">
                  <c:v>ОГБУЗ "ГУБКИНСКАЯ ЦРБ"</c:v>
                </c:pt>
                <c:pt idx="3">
                  <c:v>ОГБУЗ "ГОРОДСКАЯ БОЛЬНИЦА №2 Г. БЕЛГОРОДА"</c:v>
                </c:pt>
                <c:pt idx="4">
                  <c:v>ОГБУЗ "БЕЛГОРОДСКИЙ ОБЛАСТНОЙ ОНКОЛОГИЧЕСКИЙ ДИСПАНСЕР"</c:v>
                </c:pt>
                <c:pt idx="5">
                  <c:v>ОГБУЗ "АЛЕКСЕЕВСКАЯ ЦРБ"</c:v>
                </c:pt>
                <c:pt idx="6">
                  <c:v>ОГБУЗ "БЕЛ. ОБЛ. КЛИНИЧЕСКАЯ БОЛЬНИЦА СВЯТИТЕЛЯ ИОАСАФА"</c:v>
                </c:pt>
                <c:pt idx="7">
                  <c:v>ОГБУЗ "БЕЛГОРОДСКАЯ ЦРБ"</c:v>
                </c:pt>
                <c:pt idx="8">
                  <c:v>ОГБУЗ "ВАЛУЙСКАЯ ЦРБ"</c:v>
                </c:pt>
                <c:pt idx="9">
                  <c:v>ОГБУЗ "ЧЕРНЯНСКАЯ ЦРБ ИМ. П.В. ГАПОТЧЕНКО"</c:v>
                </c:pt>
                <c:pt idx="10">
                  <c:v>ОГБУЗ "Корочанская ЦРБ"</c:v>
                </c:pt>
              </c:strCache>
            </c:strRef>
          </c:cat>
          <c:val>
            <c:numRef>
              <c:f>'стац 1 полуг.25'!$J$9:$J$19</c:f>
              <c:numCache>
                <c:formatCode>0</c:formatCode>
                <c:ptCount val="11"/>
                <c:pt idx="0">
                  <c:v>96</c:v>
                </c:pt>
                <c:pt idx="1">
                  <c:v>98</c:v>
                </c:pt>
                <c:pt idx="2">
                  <c:v>99</c:v>
                </c:pt>
                <c:pt idx="3">
                  <c:v>99</c:v>
                </c:pt>
                <c:pt idx="4">
                  <c:v>99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dLbls>
          <c:showSerName val="1"/>
        </c:dLbls>
        <c:overlap val="72"/>
        <c:axId val="149313792"/>
        <c:axId val="149328256"/>
      </c:barChart>
      <c:catAx>
        <c:axId val="149313792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5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9.6579476861167066E-2"/>
              <c:y val="0.3498355032353640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100000" vert="horz"/>
          <a:lstStyle/>
          <a:p>
            <a:pPr>
              <a:defRPr sz="800" b="1" i="0" u="sng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9328256"/>
        <c:crosses val="autoZero"/>
        <c:auto val="1"/>
        <c:lblAlgn val="ctr"/>
        <c:lblOffset val="100"/>
        <c:tickLblSkip val="1"/>
        <c:tickMarkSkip val="1"/>
      </c:catAx>
      <c:valAx>
        <c:axId val="1493282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9313792"/>
        <c:crosses val="autoZero"/>
        <c:crossBetween val="between"/>
        <c:minorUnit val="4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2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Доля уровня удовлетворенности застрахованных в амбулаторных условиях (</a:t>
            </a:r>
            <a:r>
              <a:rPr lang="ru-RU" baseline="0"/>
              <a:t> январь-декабрь </a:t>
            </a:r>
            <a:r>
              <a:rPr lang="ru-RU"/>
              <a:t>2025 г.), %</a:t>
            </a:r>
          </a:p>
        </c:rich>
      </c:tx>
      <c:layout>
        <c:manualLayout>
          <c:xMode val="edge"/>
          <c:yMode val="edge"/>
          <c:x val="0.22671951308680074"/>
          <c:y val="3.610516482049920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21136189729838273"/>
          <c:y val="0.20597411634784846"/>
          <c:w val="0.78112637860121759"/>
          <c:h val="0.34716423205719976"/>
        </c:manualLayout>
      </c:layout>
      <c:barChart>
        <c:barDir val="col"/>
        <c:grouping val="clustered"/>
        <c:ser>
          <c:idx val="1"/>
          <c:order val="0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'!$C$11:$C$36</c:f>
            </c:numRef>
          </c:val>
        </c:ser>
        <c:ser>
          <c:idx val="2"/>
          <c:order val="1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'!$D$11:$D$36</c:f>
            </c:numRef>
          </c:val>
        </c:ser>
        <c:ser>
          <c:idx val="3"/>
          <c:order val="2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'!$E$11:$E$36</c:f>
            </c:numRef>
          </c:val>
        </c:ser>
        <c:ser>
          <c:idx val="4"/>
          <c:order val="3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4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5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0"/>
          <c:order val="6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</c:dLbls>
          <c:cat>
            <c:strRef>
              <c:f>'АПП 1 полуг.24 '!$B$10:$B$41</c:f>
              <c:strCache>
                <c:ptCount val="32"/>
                <c:pt idx="0">
                  <c:v>ОГАУЗ "СТОМАТ.ПОЛИКЛИНИКА Г. СТАРОГО ОСКОЛА"</c:v>
                </c:pt>
                <c:pt idx="1">
                  <c:v>ОГБУЗ "СТАР. ОКР. БОЛЬНИЦА СВЯТ. ЛУКИ КРЫМСКОГО"</c:v>
                </c:pt>
                <c:pt idx="2">
                  <c:v>ОГБУЗ "ШЕБЕКИНСКАЯ ЦРБ"</c:v>
                </c:pt>
                <c:pt idx="3">
                  <c:v>ОГБУЗ "ВЕЙДЕЛЕВСКАЯ ЦРБ"</c:v>
                </c:pt>
                <c:pt idx="4">
                  <c:v>ОГБУЗ "ГОРОДСКАЯ ПОЛИКЛИНИКА Г. БЕЛГОРОДА"</c:v>
                </c:pt>
                <c:pt idx="5">
                  <c:v>ОГБУЗ "РАКИТЯНСКАЯ ЦРБ"</c:v>
                </c:pt>
                <c:pt idx="6">
                  <c:v>ОГБУЗ "НОВООСКОЛЬСКАЯ ЦРБ"</c:v>
                </c:pt>
                <c:pt idx="7">
                  <c:v>ОГБУЗ "КРАСНОГВАРДЕЙСКАЯ ЦРБ"</c:v>
                </c:pt>
                <c:pt idx="8">
                  <c:v>ОГБУЗ "ГУБКИНСКАЯ ЦРБ"</c:v>
                </c:pt>
                <c:pt idx="9">
                  <c:v>ОГБУЗ "БЕЛГОРОДСКАЯ ЦРБ"</c:v>
                </c:pt>
                <c:pt idx="10">
                  <c:v>ОГБУЗ "КРАСНЕНСКАЯ ЦРБ"</c:v>
                </c:pt>
                <c:pt idx="11">
                  <c:v>ОГБУЗ "КРАСНОЯРУЖСКАЯ ЦРБ"</c:v>
                </c:pt>
                <c:pt idx="12">
                  <c:v>ОГАУЗ "СТОМАТ.ПОЛИКЛИНИКА № 1 Г. БЕЛГОРОДА</c:v>
                </c:pt>
                <c:pt idx="13">
                  <c:v>ОГБУЗ "ЧЕРНЯНСКАЯ ЦРБ ИМ. П.В. ГАПОТЧЕНКО"</c:v>
                </c:pt>
                <c:pt idx="14">
                  <c:v>ОГБУЗ "ВОЛОКОНОВСКАЯ ЦРБ"</c:v>
                </c:pt>
                <c:pt idx="15">
                  <c:v>ОГБУЗ "Корочанская ЦРБ"</c:v>
                </c:pt>
                <c:pt idx="16">
                  <c:v>ЧУЗ "РЖД-МЕДИЦИНА" Г. БЕЛГОРОД</c:v>
                </c:pt>
                <c:pt idx="17">
                  <c:v>ОГАУЗ "СТОМАТОЛОГИЧЕСКАЯ ПОЛИКЛИНИКА Г. ГУБКИНА"</c:v>
                </c:pt>
                <c:pt idx="18">
                  <c:v>ОГАУЗ "ШЕБЕКИНСКАЯ ГОРОДСКАЯ СТОМАТ. ПОЛИКЛИНИКА"</c:v>
                </c:pt>
                <c:pt idx="19">
                  <c:v>ОГБУЗ "АЛЕКСЕЕВСКАЯ ЦРБ"</c:v>
                </c:pt>
                <c:pt idx="20">
                  <c:v>ОГБУЗ "БЕЛГ. ОБЛ. КЛИНИЧЕСКАЯ БОЛ. СВЯТИТЕЛЯ ИОАСАФА"</c:v>
                </c:pt>
                <c:pt idx="21">
                  <c:v>ОГБУЗ "БЕЛ. ОБЛАСТНОЙ ОНКОЛОГИЧЕСКИЙ ДИСПАНСЕР"</c:v>
                </c:pt>
                <c:pt idx="22">
                  <c:v>ОГБУЗ "БОЛЬШЕТРОИЦКАЯ РАЙОННАЯ БОЛЬНИЦА"</c:v>
                </c:pt>
                <c:pt idx="23">
                  <c:v>ОГБУЗ "БОРИСОВСКАЯ ЦРБ"</c:v>
                </c:pt>
                <c:pt idx="24">
                  <c:v>ОГБУЗ "ВАЛУЙСКАЯ ЦРБ"</c:v>
                </c:pt>
                <c:pt idx="25">
                  <c:v>ОГБУЗ Грайворонская ЦРБ</c:v>
                </c:pt>
                <c:pt idx="26">
                  <c:v>ОГБУЗ "ИВНЯНСКАЯ ЦРБ"</c:v>
                </c:pt>
                <c:pt idx="27">
                  <c:v>ОГБУЗ "ПРОХОРОВСКАЯ ЦРБ"</c:v>
                </c:pt>
                <c:pt idx="28">
                  <c:v>ОГБУЗ "РОВЕНЬСКАЯ ЦРБ"</c:v>
                </c:pt>
                <c:pt idx="29">
                  <c:v>ОГБУЗ "ТОМАРОВСКАЯ РБ"</c:v>
                </c:pt>
                <c:pt idx="30">
                  <c:v>ОГБУЗ "ЯКОВЛЕВСКАЯ ЦРБ"</c:v>
                </c:pt>
                <c:pt idx="31">
                  <c:v>ООО "ПОЛИКЛИНИКА "ПОЛИМЕДИКА-БЕЛГОРОД"</c:v>
                </c:pt>
              </c:strCache>
            </c:strRef>
          </c:cat>
          <c:val>
            <c:numRef>
              <c:f>'АПП 1 полуг.24 '!$F$10:$F$41</c:f>
              <c:numCache>
                <c:formatCode>0</c:formatCode>
                <c:ptCount val="32"/>
                <c:pt idx="0">
                  <c:v>84</c:v>
                </c:pt>
                <c:pt idx="1">
                  <c:v>90</c:v>
                </c:pt>
                <c:pt idx="2">
                  <c:v>90</c:v>
                </c:pt>
                <c:pt idx="3">
                  <c:v>93</c:v>
                </c:pt>
                <c:pt idx="4">
                  <c:v>94</c:v>
                </c:pt>
                <c:pt idx="5">
                  <c:v>95</c:v>
                </c:pt>
                <c:pt idx="6">
                  <c:v>98</c:v>
                </c:pt>
                <c:pt idx="7">
                  <c:v>98</c:v>
                </c:pt>
                <c:pt idx="8">
                  <c:v>98</c:v>
                </c:pt>
                <c:pt idx="9">
                  <c:v>98</c:v>
                </c:pt>
                <c:pt idx="10">
                  <c:v>98</c:v>
                </c:pt>
                <c:pt idx="11">
                  <c:v>98</c:v>
                </c:pt>
                <c:pt idx="12">
                  <c:v>98</c:v>
                </c:pt>
                <c:pt idx="13">
                  <c:v>98</c:v>
                </c:pt>
                <c:pt idx="14">
                  <c:v>99</c:v>
                </c:pt>
                <c:pt idx="15">
                  <c:v>99</c:v>
                </c:pt>
                <c:pt idx="16">
                  <c:v>99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</c:numCache>
            </c:numRef>
          </c:val>
        </c:ser>
        <c:dLbls>
          <c:showSerName val="1"/>
        </c:dLbls>
        <c:gapWidth val="170"/>
        <c:axId val="92636288"/>
        <c:axId val="92638208"/>
      </c:barChart>
      <c:catAx>
        <c:axId val="92636288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1420217970384034"/>
              <c:y val="0.3518521712163517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2638208"/>
        <c:crosses val="autoZero"/>
        <c:auto val="1"/>
        <c:lblAlgn val="ctr"/>
        <c:lblOffset val="100"/>
        <c:tickLblSkip val="1"/>
        <c:tickMarkSkip val="1"/>
      </c:catAx>
      <c:valAx>
        <c:axId val="92638208"/>
        <c:scaling>
          <c:orientation val="minMax"/>
        </c:scaling>
        <c:axPos val="l"/>
        <c:majorGridlines>
          <c:spPr>
            <a:ln w="3175">
              <a:solidFill>
                <a:srgbClr val="FF9900"/>
              </a:solidFill>
              <a:prstDash val="solid"/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263628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8933553039106037"/>
          <c:y val="0.17567567567567524"/>
          <c:w val="0.45177164907038825"/>
          <c:h val="0.7995495495495496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'диагр.вопр. Стационар 1 п.24'!$A$4:$G$4</c:f>
              <c:strCache>
                <c:ptCount val="7"/>
                <c:pt idx="0">
                  <c:v>Сроки ожидания плановой госпитализации  январь -декабрь 2025 г.</c:v>
                </c:pt>
                <c:pt idx="1">
                  <c:v>Обеспечение лекарственными препаратами при стационарном лечении  январь -декабрь   2025 г.</c:v>
                </c:pt>
                <c:pt idx="2">
                  <c:v>Обеспечение расходными материалами при стационарном лечении  январь -декабрь 2025 г.</c:v>
                </c:pt>
                <c:pt idx="3">
                  <c:v>Информирование  врачом о проведенных исследованиях и назначениях врачат январь -декабрь   2025 г.</c:v>
                </c:pt>
                <c:pt idx="4">
                  <c:v>Питание, получаемое в стационарных условиях  январь -декабрь   2025 г.</c:v>
                </c:pt>
                <c:pt idx="5">
                  <c:v>Санитарно - гигиеническое состояние МО  январь -декабрь  2025 г.</c:v>
                </c:pt>
                <c:pt idx="6">
                  <c:v>Оказание медицинской помощи   январь -декабрь  2025 г.</c:v>
                </c:pt>
              </c:strCache>
            </c:strRef>
          </c:cat>
          <c:val>
            <c:numRef>
              <c:f>'диагр.вопр. Стационар 1 п.24'!$A$5:$G$5</c:f>
              <c:numCache>
                <c:formatCode>0%</c:formatCode>
                <c:ptCount val="7"/>
                <c:pt idx="0">
                  <c:v>0.99</c:v>
                </c:pt>
                <c:pt idx="1">
                  <c:v>0.98</c:v>
                </c:pt>
                <c:pt idx="2">
                  <c:v>0.99</c:v>
                </c:pt>
                <c:pt idx="3">
                  <c:v>0.99</c:v>
                </c:pt>
                <c:pt idx="4">
                  <c:v>0.99</c:v>
                </c:pt>
                <c:pt idx="5">
                  <c:v>0.98</c:v>
                </c:pt>
                <c:pt idx="6">
                  <c:v>0.99</c:v>
                </c:pt>
              </c:numCache>
            </c:numRef>
          </c:val>
        </c:ser>
        <c:axId val="92657920"/>
        <c:axId val="92663808"/>
      </c:barChart>
      <c:catAx>
        <c:axId val="92657920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2663808"/>
        <c:crosses val="autoZero"/>
        <c:auto val="1"/>
        <c:lblAlgn val="ctr"/>
        <c:lblOffset val="100"/>
      </c:catAx>
      <c:valAx>
        <c:axId val="92663808"/>
        <c:scaling>
          <c:orientation val="minMax"/>
        </c:scaling>
        <c:delete val="1"/>
        <c:axPos val="b"/>
        <c:majorGridlines/>
        <c:numFmt formatCode="0%" sourceLinked="1"/>
        <c:tickLblPos val="nextTo"/>
        <c:crossAx val="926579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50936893187976751"/>
          <c:y val="0.16588419405320814"/>
          <c:w val="0.45401017756675582"/>
          <c:h val="0.79968701095461669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'диагр.вопр. АПП 1 п.24'!$B$4:$F$4</c:f>
              <c:strCache>
                <c:ptCount val="5"/>
                <c:pt idx="0">
                  <c:v>Сроки ожидания приема врачами- терапевтами участковыми январь - декабрь 2025г.</c:v>
                </c:pt>
                <c:pt idx="1">
                  <c:v>Сроки ожидания проведения консультаций врачей специалистов  январь - декабрь 2025г.</c:v>
                </c:pt>
                <c:pt idx="2">
                  <c:v>Сроки ожидания проведения диагностических лабораторных исследований январь - декабрь 2025г.</c:v>
                </c:pt>
                <c:pt idx="3">
                  <c:v>Санитарно - гигиеническое состояние МО  январь - декабрь 2025г.</c:v>
                </c:pt>
                <c:pt idx="4">
                  <c:v>Удовлетворённость оказания медицинской помощи  январь - декабрь 2025г.</c:v>
                </c:pt>
              </c:strCache>
            </c:strRef>
          </c:cat>
          <c:val>
            <c:numRef>
              <c:f>'диагр.вопр. АПП 1 п.24'!$B$5:$F$5</c:f>
              <c:numCache>
                <c:formatCode>0%</c:formatCode>
                <c:ptCount val="5"/>
                <c:pt idx="0">
                  <c:v>0.96000000000000063</c:v>
                </c:pt>
                <c:pt idx="1">
                  <c:v>0.93</c:v>
                </c:pt>
                <c:pt idx="2">
                  <c:v>0.96000000000000063</c:v>
                </c:pt>
                <c:pt idx="3">
                  <c:v>0.98</c:v>
                </c:pt>
                <c:pt idx="4">
                  <c:v>0.97000000000000064</c:v>
                </c:pt>
              </c:numCache>
            </c:numRef>
          </c:val>
        </c:ser>
        <c:axId val="93138304"/>
        <c:axId val="93140096"/>
      </c:barChart>
      <c:catAx>
        <c:axId val="93138304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3140096"/>
        <c:crosses val="autoZero"/>
        <c:auto val="1"/>
        <c:lblAlgn val="ctr"/>
        <c:lblOffset val="100"/>
      </c:catAx>
      <c:valAx>
        <c:axId val="93140096"/>
        <c:scaling>
          <c:orientation val="minMax"/>
        </c:scaling>
        <c:delete val="1"/>
        <c:axPos val="b"/>
        <c:majorGridlines/>
        <c:numFmt formatCode="0%" sourceLinked="1"/>
        <c:tickLblPos val="nextTo"/>
        <c:crossAx val="93138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0.02385</cdr:x>
      <cdr:y>0.05912</cdr:y>
    </cdr:from>
    <cdr:to>
      <cdr:x>0.15194</cdr:x>
      <cdr:y>0.06926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7175" y="333375"/>
          <a:ext cx="1381125" cy="57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0.04152</cdr:x>
      <cdr:y>0.03547</cdr:y>
    </cdr:from>
    <cdr:to>
      <cdr:x>0.92668</cdr:x>
      <cdr:y>0.14696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47675" y="200026"/>
          <a:ext cx="9544050" cy="628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0.18375</cdr:x>
      <cdr:y>0.03378</cdr:y>
    </cdr:from>
    <cdr:to>
      <cdr:x>0.84541</cdr:x>
      <cdr:y>0.12838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981200" y="190501"/>
          <a:ext cx="7134225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0.06714</cdr:x>
      <cdr:y>0.0473</cdr:y>
    </cdr:from>
    <cdr:to>
      <cdr:x>0.92933</cdr:x>
      <cdr:y>0.16047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723900" y="266700"/>
          <a:ext cx="9296400" cy="638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0.98675</cdr:x>
      <cdr:y>0.16402</cdr:y>
    </cdr:to>
    <cdr:pic>
      <cdr:nvPicPr>
        <cdr:cNvPr id="11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10639435" cy="92487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0.02385</cdr:x>
      <cdr:y>0.05912</cdr:y>
    </cdr:from>
    <cdr:to>
      <cdr:x>0.15194</cdr:x>
      <cdr:y>0.06926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7175" y="333375"/>
          <a:ext cx="1381125" cy="57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0.04152</cdr:x>
      <cdr:y>0.03547</cdr:y>
    </cdr:from>
    <cdr:to>
      <cdr:x>0.92668</cdr:x>
      <cdr:y>0.14696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47675" y="200026"/>
          <a:ext cx="9544050" cy="628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0.18375</cdr:x>
      <cdr:y>0.03378</cdr:y>
    </cdr:from>
    <cdr:to>
      <cdr:x>0.84541</cdr:x>
      <cdr:y>0.12838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981200" y="190501"/>
          <a:ext cx="7134225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0.06714</cdr:x>
      <cdr:y>0.0473</cdr:y>
    </cdr:from>
    <cdr:to>
      <cdr:x>0.92933</cdr:x>
      <cdr:y>0.16047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723900" y="266700"/>
          <a:ext cx="9296400" cy="638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ru-RU" sz="1800" b="1">
              <a:latin typeface="Times New Roman" pitchFamily="18" charset="0"/>
              <a:cs typeface="Times New Roman" pitchFamily="18" charset="0"/>
            </a:rPr>
            <a:t>Оценка амбулаторно- поликлинических условий по</a:t>
          </a:r>
        </a:p>
        <a:p xmlns:a="http://schemas.openxmlformats.org/drawingml/2006/main">
          <a:pPr algn="ctr"/>
          <a:r>
            <a:rPr lang="ru-RU" sz="1800" b="1">
              <a:latin typeface="Times New Roman" pitchFamily="18" charset="0"/>
              <a:cs typeface="Times New Roman" pitchFamily="18" charset="0"/>
            </a:rPr>
            <a:t> результатам</a:t>
          </a:r>
          <a:r>
            <a:rPr lang="ru-RU" sz="1800" b="1" baseline="0">
              <a:latin typeface="Times New Roman" pitchFamily="18" charset="0"/>
              <a:cs typeface="Times New Roman" pitchFamily="18" charset="0"/>
            </a:rPr>
            <a:t> анкетирования в разрезе вопросов </a:t>
          </a:r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D83E-1F6F-4B78-AE3B-F3F8E4C1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8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Удовлетворенность объёмом, доступностью и качеством оказанной медицинской помощи по данным социологического опроса ТФОМС</vt:lpstr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Удовлетворенность объёмом, доступностью и качеством оказанной медицинской помощи по данным социологического опроса ТФОМС</dc:title>
  <dc:creator>ooms_13</dc:creator>
  <cp:lastModifiedBy>ooms_8</cp:lastModifiedBy>
  <cp:revision>61</cp:revision>
  <cp:lastPrinted>2026-03-10T07:17:00Z</cp:lastPrinted>
  <dcterms:created xsi:type="dcterms:W3CDTF">2025-04-11T14:16:00Z</dcterms:created>
  <dcterms:modified xsi:type="dcterms:W3CDTF">2026-03-10T07:38:00Z</dcterms:modified>
</cp:coreProperties>
</file>